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黑体" w:hAnsi="黑体" w:eastAsia="黑体" w:cs="黑体"/>
          <w:b w:val="0"/>
          <w:bCs w:val="0"/>
          <w:sz w:val="44"/>
          <w:szCs w:val="44"/>
        </w:rPr>
      </w:pPr>
      <w:bookmarkStart w:id="1" w:name="_GoBack"/>
      <w:bookmarkStart w:id="0" w:name="_Toc24724723"/>
      <w:r>
        <w:rPr>
          <w:rFonts w:hint="eastAsia" w:ascii="华文中宋" w:hAnsi="华文中宋" w:eastAsia="华文中宋" w:cs="华文中宋"/>
          <w:b/>
          <w:bCs/>
          <w:sz w:val="44"/>
          <w:szCs w:val="44"/>
          <w:lang w:eastAsia="zh-CN"/>
        </w:rPr>
        <w:t>左云县</w:t>
      </w:r>
      <w:r>
        <w:rPr>
          <w:rFonts w:hint="eastAsia" w:ascii="华文中宋" w:hAnsi="华文中宋" w:eastAsia="华文中宋" w:cs="华文中宋"/>
          <w:b/>
          <w:bCs/>
          <w:sz w:val="44"/>
          <w:szCs w:val="44"/>
        </w:rPr>
        <w:t>公共文化服务领域基层政务公开标准目录</w:t>
      </w:r>
      <w:bookmarkEnd w:id="0"/>
    </w:p>
    <w:bookmarkEnd w:id="1"/>
    <w:tbl>
      <w:tblPr>
        <w:tblStyle w:val="3"/>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4"/>
        <w:gridCol w:w="1620"/>
        <w:gridCol w:w="1786"/>
        <w:gridCol w:w="1980"/>
        <w:gridCol w:w="1814"/>
        <w:gridCol w:w="1426"/>
        <w:gridCol w:w="1440"/>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shd w:val="clear" w:color="auto" w:fill="auto"/>
            <w:noWrap w:val="0"/>
            <w:vAlign w:val="center"/>
          </w:tcPr>
          <w:p>
            <w:pPr>
              <w:widowControl/>
              <w:jc w:val="center"/>
              <w:rPr>
                <w:rFonts w:ascii="Times New Roman" w:hAnsi="Times New Roman"/>
                <w:color w:val="000000"/>
                <w:kern w:val="0"/>
                <w:sz w:val="21"/>
                <w:szCs w:val="21"/>
              </w:rPr>
            </w:pPr>
            <w:r>
              <w:rPr>
                <w:rFonts w:ascii="Times New Roman" w:hAnsi="宋体"/>
                <w:color w:val="000000"/>
                <w:kern w:val="0"/>
                <w:sz w:val="21"/>
                <w:szCs w:val="21"/>
              </w:rPr>
              <w:t>序号</w:t>
            </w:r>
          </w:p>
        </w:tc>
        <w:tc>
          <w:tcPr>
            <w:tcW w:w="2354" w:type="dxa"/>
            <w:gridSpan w:val="2"/>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公开事项</w:t>
            </w:r>
          </w:p>
        </w:tc>
        <w:tc>
          <w:tcPr>
            <w:tcW w:w="1786" w:type="dxa"/>
            <w:vMerge w:val="restart"/>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公开内容（要素）</w:t>
            </w:r>
          </w:p>
        </w:tc>
        <w:tc>
          <w:tcPr>
            <w:tcW w:w="1980" w:type="dxa"/>
            <w:vMerge w:val="restart"/>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公开依据</w:t>
            </w:r>
          </w:p>
        </w:tc>
        <w:tc>
          <w:tcPr>
            <w:tcW w:w="1814" w:type="dxa"/>
            <w:vMerge w:val="restart"/>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公开时限</w:t>
            </w:r>
          </w:p>
        </w:tc>
        <w:tc>
          <w:tcPr>
            <w:tcW w:w="1426" w:type="dxa"/>
            <w:vMerge w:val="restart"/>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公开主体</w:t>
            </w:r>
          </w:p>
        </w:tc>
        <w:tc>
          <w:tcPr>
            <w:tcW w:w="1440" w:type="dxa"/>
            <w:vMerge w:val="restart"/>
            <w:shd w:val="clear" w:color="auto" w:fill="auto"/>
            <w:noWrap w:val="0"/>
            <w:vAlign w:val="center"/>
          </w:tcPr>
          <w:p>
            <w:pPr>
              <w:widowControl/>
              <w:jc w:val="center"/>
              <w:rPr>
                <w:rFonts w:ascii="黑体" w:hAnsi="宋体" w:eastAsia="黑体" w:cs="宋体"/>
                <w:kern w:val="0"/>
                <w:sz w:val="21"/>
                <w:szCs w:val="21"/>
              </w:rPr>
            </w:pPr>
            <w:r>
              <w:rPr>
                <w:rFonts w:hint="eastAsia" w:ascii="黑体" w:hAnsi="宋体" w:eastAsia="黑体" w:cs="宋体"/>
                <w:kern w:val="0"/>
                <w:sz w:val="21"/>
                <w:szCs w:val="21"/>
              </w:rPr>
              <w:t>公开渠道和载体</w:t>
            </w:r>
          </w:p>
        </w:tc>
        <w:tc>
          <w:tcPr>
            <w:tcW w:w="1429" w:type="dxa"/>
            <w:gridSpan w:val="2"/>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公开对象</w:t>
            </w:r>
          </w:p>
        </w:tc>
        <w:tc>
          <w:tcPr>
            <w:tcW w:w="1271" w:type="dxa"/>
            <w:gridSpan w:val="2"/>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公开方式</w:t>
            </w:r>
          </w:p>
        </w:tc>
        <w:tc>
          <w:tcPr>
            <w:tcW w:w="1440" w:type="dxa"/>
            <w:gridSpan w:val="2"/>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shd w:val="clear" w:color="auto" w:fill="auto"/>
            <w:noWrap w:val="0"/>
            <w:vAlign w:val="center"/>
          </w:tcPr>
          <w:p>
            <w:pPr>
              <w:widowControl/>
              <w:jc w:val="left"/>
              <w:rPr>
                <w:rFonts w:ascii="Times New Roman" w:hAnsi="Times New Roman"/>
                <w:color w:val="000000"/>
                <w:kern w:val="0"/>
                <w:sz w:val="21"/>
                <w:szCs w:val="21"/>
              </w:rPr>
            </w:pPr>
          </w:p>
        </w:tc>
        <w:tc>
          <w:tcPr>
            <w:tcW w:w="734"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一级事项</w:t>
            </w:r>
          </w:p>
        </w:tc>
        <w:tc>
          <w:tcPr>
            <w:tcW w:w="1620"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二级事项</w:t>
            </w:r>
          </w:p>
        </w:tc>
        <w:tc>
          <w:tcPr>
            <w:tcW w:w="1786" w:type="dxa"/>
            <w:vMerge w:val="continue"/>
            <w:shd w:val="clear" w:color="auto" w:fill="auto"/>
            <w:noWrap w:val="0"/>
            <w:vAlign w:val="center"/>
          </w:tcPr>
          <w:p>
            <w:pPr>
              <w:widowControl/>
              <w:jc w:val="left"/>
              <w:rPr>
                <w:rFonts w:ascii="黑体" w:hAnsi="宋体" w:eastAsia="黑体" w:cs="宋体"/>
                <w:color w:val="000000"/>
                <w:kern w:val="0"/>
                <w:sz w:val="21"/>
                <w:szCs w:val="21"/>
              </w:rPr>
            </w:pPr>
          </w:p>
        </w:tc>
        <w:tc>
          <w:tcPr>
            <w:tcW w:w="1980" w:type="dxa"/>
            <w:vMerge w:val="continue"/>
            <w:shd w:val="clear" w:color="auto" w:fill="auto"/>
            <w:noWrap w:val="0"/>
            <w:vAlign w:val="center"/>
          </w:tcPr>
          <w:p>
            <w:pPr>
              <w:widowControl/>
              <w:jc w:val="left"/>
              <w:rPr>
                <w:rFonts w:ascii="黑体" w:hAnsi="宋体" w:eastAsia="黑体" w:cs="宋体"/>
                <w:color w:val="000000"/>
                <w:kern w:val="0"/>
                <w:sz w:val="21"/>
                <w:szCs w:val="21"/>
              </w:rPr>
            </w:pPr>
          </w:p>
        </w:tc>
        <w:tc>
          <w:tcPr>
            <w:tcW w:w="1814" w:type="dxa"/>
            <w:vMerge w:val="continue"/>
            <w:shd w:val="clear" w:color="auto" w:fill="auto"/>
            <w:noWrap w:val="0"/>
            <w:vAlign w:val="center"/>
          </w:tcPr>
          <w:p>
            <w:pPr>
              <w:widowControl/>
              <w:jc w:val="left"/>
              <w:rPr>
                <w:rFonts w:ascii="黑体" w:hAnsi="宋体" w:eastAsia="黑体" w:cs="宋体"/>
                <w:color w:val="000000"/>
                <w:kern w:val="0"/>
                <w:sz w:val="21"/>
                <w:szCs w:val="21"/>
              </w:rPr>
            </w:pPr>
          </w:p>
        </w:tc>
        <w:tc>
          <w:tcPr>
            <w:tcW w:w="1426" w:type="dxa"/>
            <w:vMerge w:val="continue"/>
            <w:shd w:val="clear" w:color="auto" w:fill="auto"/>
            <w:noWrap w:val="0"/>
            <w:vAlign w:val="center"/>
          </w:tcPr>
          <w:p>
            <w:pPr>
              <w:widowControl/>
              <w:jc w:val="left"/>
              <w:rPr>
                <w:rFonts w:ascii="黑体" w:hAnsi="宋体" w:eastAsia="黑体" w:cs="宋体"/>
                <w:color w:val="000000"/>
                <w:kern w:val="0"/>
                <w:sz w:val="21"/>
                <w:szCs w:val="21"/>
              </w:rPr>
            </w:pPr>
          </w:p>
        </w:tc>
        <w:tc>
          <w:tcPr>
            <w:tcW w:w="1440" w:type="dxa"/>
            <w:vMerge w:val="continue"/>
            <w:shd w:val="clear" w:color="auto" w:fill="auto"/>
            <w:noWrap w:val="0"/>
            <w:vAlign w:val="center"/>
          </w:tcPr>
          <w:p>
            <w:pPr>
              <w:widowControl/>
              <w:jc w:val="left"/>
              <w:rPr>
                <w:rFonts w:ascii="黑体" w:hAnsi="宋体" w:eastAsia="黑体" w:cs="宋体"/>
                <w:kern w:val="0"/>
                <w:sz w:val="21"/>
                <w:szCs w:val="21"/>
              </w:rPr>
            </w:pPr>
          </w:p>
        </w:tc>
        <w:tc>
          <w:tcPr>
            <w:tcW w:w="720"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全社会</w:t>
            </w:r>
          </w:p>
        </w:tc>
        <w:tc>
          <w:tcPr>
            <w:tcW w:w="709"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特定群众</w:t>
            </w:r>
          </w:p>
        </w:tc>
        <w:tc>
          <w:tcPr>
            <w:tcW w:w="551"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主动</w:t>
            </w:r>
          </w:p>
        </w:tc>
        <w:tc>
          <w:tcPr>
            <w:tcW w:w="720"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依申请公开</w:t>
            </w:r>
          </w:p>
        </w:tc>
        <w:tc>
          <w:tcPr>
            <w:tcW w:w="720"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县级</w:t>
            </w:r>
          </w:p>
        </w:tc>
        <w:tc>
          <w:tcPr>
            <w:tcW w:w="720" w:type="dxa"/>
            <w:shd w:val="clear" w:color="auto" w:fill="auto"/>
            <w:noWrap w:val="0"/>
            <w:vAlign w:val="center"/>
          </w:tcPr>
          <w:p>
            <w:pPr>
              <w:widowControl/>
              <w:jc w:val="center"/>
              <w:rPr>
                <w:rFonts w:ascii="黑体" w:hAnsi="宋体" w:eastAsia="黑体" w:cs="宋体"/>
                <w:color w:val="000000"/>
                <w:kern w:val="0"/>
                <w:sz w:val="21"/>
                <w:szCs w:val="21"/>
              </w:rPr>
            </w:pPr>
            <w:r>
              <w:rPr>
                <w:rFonts w:hint="eastAsia" w:ascii="黑体" w:hAnsi="宋体" w:eastAsia="黑体" w:cs="宋体"/>
                <w:color w:val="000000"/>
                <w:kern w:val="0"/>
                <w:sz w:val="21"/>
                <w:szCs w:val="21"/>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w:t>
            </w:r>
          </w:p>
        </w:tc>
        <w:tc>
          <w:tcPr>
            <w:tcW w:w="73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许可</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互联网上网服务营业场所经营许可</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1.办事指南：主要包括事项名称、设定依据、申请条件、办理材料、办理地点、办理时间、联系电话、办理流程、办理期限、申请行政许可需要提交的全部材料目录及办理情况;</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《行政许可法》、《政府信息公开条例》、《互联网上网服务营业场所管理条例》</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县级文物保护单位保护范围内其他建设工程或者爆破、钻探、挖掘等作业审批</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1办事指南：内容同上;</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3</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县级文物保护单位建设控制地带内建设工程设计方案审批</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1.办事指南：内容同上;</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4</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县级文物保护单位实施原址保护措施审批</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1.办事指南：内容同上;</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5</w:t>
            </w:r>
          </w:p>
        </w:tc>
        <w:tc>
          <w:tcPr>
            <w:tcW w:w="734" w:type="dxa"/>
            <w:vMerge w:val="restart"/>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许可</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县级文物保护单位和未核定为文物保护单位的不可移动文物修缮审批</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1.办事指南：内容同上;</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6</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核定为县级文物保护单位的属于国家所有的纪念建筑物或者古建筑改变用途审批</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1.办事指南：内容同上;</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2.行政许可决定。</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《行政许可法》；《政府信息公开条例》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■公开查阅点     ■政务服务中心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7</w:t>
            </w:r>
          </w:p>
        </w:tc>
        <w:tc>
          <w:tcPr>
            <w:tcW w:w="734" w:type="dxa"/>
            <w:vMerge w:val="restart"/>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对互联网上网服务营业场所违法行为的行政处罚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《互联网上网服务营业场所管理条例》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8</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对娱乐场所违法行为的行政处罚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《娱乐场所管理条例》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lang w:val="en-US" w:eastAsia="zh-CN"/>
              </w:rPr>
              <w:t>9</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对营业性演出违法行为的行政处罚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10</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对艺术品经营违法行为的行政处罚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11</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对擅自在文物保护单位的保护范围内进行建设工程或者爆破、钻探、挖掘等作业的行为进行处罚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12</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对在文物保护单位的建设控制地带内进行建设工程，其工程设计方案未经文物行政部门同意、报城乡建设规划部门批准，对文物保护单位的历史风貌造成破坏的行为进行处罚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13</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对擅自迁移、拆除不可移动文物的行为进行处罚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14</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对擅自修缮不可移动文物，明显改变文物原状的行为进行处罚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15</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对擅自在原址重建已全部毁坏的不可移动文物，造成文物破坏的行为进行处罚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16</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对施工单位未取得文物保护工程资质证书，擅自从事文物修缮、迁移、重建的行为进行处罚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17</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对转让或者抵押国有不可移动文物的行为进行处罚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18</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对将国有不可移动文物作为企业资产经营的行为进行处罚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19</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对将非国有不可移动文物转让或者抵押给外国人的行为进行处罚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val="en-US" w:eastAsia="zh-CN"/>
              </w:rPr>
            </w:pPr>
            <w:r>
              <w:rPr>
                <w:rFonts w:hint="eastAsia" w:ascii="仿宋_GB2312" w:hAnsi="Times New Roman" w:eastAsia="仿宋_GB2312"/>
                <w:sz w:val="21"/>
                <w:szCs w:val="21"/>
              </w:rPr>
              <w:t>2</w:t>
            </w:r>
            <w:r>
              <w:rPr>
                <w:rFonts w:hint="eastAsia" w:ascii="仿宋_GB2312" w:hAnsi="Times New Roman" w:eastAsia="仿宋_GB2312"/>
                <w:sz w:val="21"/>
                <w:szCs w:val="21"/>
                <w:lang w:val="en-US" w:eastAsia="zh-CN"/>
              </w:rPr>
              <w:t>0</w:t>
            </w:r>
          </w:p>
        </w:tc>
        <w:tc>
          <w:tcPr>
            <w:tcW w:w="734" w:type="dxa"/>
            <w:vMerge w:val="restart"/>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对擅自改变国有文物保护单位用途的行为进行处罚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rPr>
              <w:t>2</w:t>
            </w:r>
            <w:r>
              <w:rPr>
                <w:rFonts w:hint="eastAsia" w:ascii="仿宋_GB2312" w:hAnsi="Times New Roman" w:eastAsia="仿宋_GB2312"/>
                <w:sz w:val="21"/>
                <w:szCs w:val="21"/>
                <w:lang w:val="en-US" w:eastAsia="zh-CN"/>
              </w:rPr>
              <w:t>1</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对文物收藏单位未按照国家有关规定配备防火、防盗、防自然损坏的设施的行为进行处罚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eastAsia" w:ascii="仿宋_GB2312" w:hAnsi="Times New Roman" w:eastAsia="仿宋_GB2312"/>
                <w:sz w:val="21"/>
                <w:szCs w:val="21"/>
                <w:lang w:eastAsia="zh-CN"/>
              </w:rPr>
            </w:pPr>
            <w:r>
              <w:rPr>
                <w:rFonts w:hint="eastAsia" w:ascii="仿宋_GB2312" w:hAnsi="Times New Roman" w:eastAsia="仿宋_GB2312"/>
                <w:sz w:val="21"/>
                <w:szCs w:val="21"/>
              </w:rPr>
              <w:t>2</w:t>
            </w:r>
            <w:r>
              <w:rPr>
                <w:rFonts w:hint="eastAsia" w:ascii="仿宋_GB2312" w:hAnsi="Times New Roman" w:eastAsia="仿宋_GB2312"/>
                <w:sz w:val="21"/>
                <w:szCs w:val="21"/>
                <w:lang w:val="en-US" w:eastAsia="zh-CN"/>
              </w:rPr>
              <w:t>2</w:t>
            </w:r>
          </w:p>
        </w:tc>
        <w:tc>
          <w:tcPr>
            <w:tcW w:w="734" w:type="dxa"/>
            <w:vMerge w:val="restart"/>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对国有文物收藏单位法定代表人离任时未按照馆藏文物档案移交馆藏文物，或者所移交的馆藏文物与馆藏文物档案不符的行为进行处罚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23</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对将国有馆藏文物赠与、出租或者出售给其他单位、个人的行为进行处罚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24</w:t>
            </w:r>
          </w:p>
        </w:tc>
        <w:tc>
          <w:tcPr>
            <w:tcW w:w="734" w:type="dxa"/>
            <w:vMerge w:val="restart"/>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对违法借用、交换、处置国有馆藏文物的行为进行处罚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25</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对违法挪用或者侵占依法调拨、交换、出借文物所得补偿费用的行为进行处罚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26</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对发现文物隐匿不报，或者拒不上交的行为进行处罚</w:t>
            </w:r>
          </w:p>
        </w:tc>
        <w:tc>
          <w:tcPr>
            <w:tcW w:w="178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jc w:val="center"/>
              <w:rPr>
                <w:rFonts w:hint="eastAsia"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27</w:t>
            </w:r>
          </w:p>
        </w:tc>
        <w:tc>
          <w:tcPr>
            <w:tcW w:w="734" w:type="dxa"/>
            <w:vMerge w:val="restart"/>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对未按照规定移交拣选文物的行为进行处罚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top"/>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28</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对未取得相应等级的文物保护工程资质证书，擅自承担文物保护单位的修缮、迁移、重建工程逾期不改正，或者造成严重后果的行为进行处罚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top"/>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29</w:t>
            </w:r>
          </w:p>
        </w:tc>
        <w:tc>
          <w:tcPr>
            <w:tcW w:w="734" w:type="dxa"/>
            <w:vMerge w:val="restart"/>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处罚</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对未取得资质证书，擅自从事馆藏文物的修复、复制、拓印活动的行为进行处罚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top"/>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30</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对擅自修复、复制、拓印馆藏珍贵文物的行为进行处罚</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3.处罚依据；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4.处罚结果。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《政府信息公开条例》、《国务院办公厅关于全面推行行政执法公示制度执法全过程记录制度重大执法决定法制审核制度的指导意见》</w:t>
            </w:r>
          </w:p>
        </w:tc>
        <w:tc>
          <w:tcPr>
            <w:tcW w:w="1814" w:type="dxa"/>
            <w:shd w:val="clear" w:color="auto" w:fill="auto"/>
            <w:noWrap w:val="0"/>
            <w:vAlign w:val="top"/>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执法决定信息在决定作出之日起7个工作日内公开，其他相关信息形成或变更之日起20个工作日内公开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31</w:t>
            </w:r>
          </w:p>
        </w:tc>
        <w:tc>
          <w:tcPr>
            <w:tcW w:w="73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行政</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强制</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对擅自从事互联网上网服务经营活动场所的查封，专用工具、设备的扣押</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1.主体信息；</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2.案由；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3.处理依据；</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4.处理结果。</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■政府网站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32</w:t>
            </w:r>
          </w:p>
        </w:tc>
        <w:tc>
          <w:tcPr>
            <w:tcW w:w="734" w:type="dxa"/>
            <w:vMerge w:val="restart"/>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公共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服务</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公共文化机构免费开放信息</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1.机构名称；</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2.开放时间；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3.机构地址；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5.临时停止开放信息。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《公共文化服务保障法》、《政府信息公开条例》、《文化部 财政部关于推进全国美术馆、公共图书馆、文化馆（站）免费开放工作的意见》、《文化部 财政部关于做好城市社区(街道)文化中心免费开放工作的通知》</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33</w:t>
            </w:r>
          </w:p>
        </w:tc>
        <w:tc>
          <w:tcPr>
            <w:tcW w:w="734" w:type="dxa"/>
            <w:vMerge w:val="continue"/>
            <w:shd w:val="clear" w:color="auto" w:fill="auto"/>
            <w:noWrap w:val="0"/>
            <w:vAlign w:val="center"/>
          </w:tcPr>
          <w:p>
            <w:pPr>
              <w:spacing w:line="240" w:lineRule="exact"/>
              <w:rPr>
                <w:rFonts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特殊群体公共文化服务信息</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1.机构名称；</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2.开放时间；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3.机构地址；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5.临时停止开放信息。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《残疾人保障法》、《政府信息公开条例》、《中共中央办公厅 国务院办公厅印发关于加快构建现代公共文化服务体系的意见》</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34</w:t>
            </w:r>
          </w:p>
        </w:tc>
        <w:tc>
          <w:tcPr>
            <w:tcW w:w="734" w:type="dxa"/>
            <w:vMerge w:val="restart"/>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公共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服务</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组织开展群众文化活动</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1.机构名称；</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2.开放时间；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3.机构地址；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5.临时停止活动信息。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《政府信息公开条例》、《文化馆服务标准》</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35</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下基层辅导、演出、展览和指导基层群众文化活动</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1.活动时间；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2.活动单位；</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3.活动地址；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5.临时停止活动信息。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《政府信息公开条例》、《文化馆服务标准》</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36</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举办各类展览、讲座信息</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1.活动时间；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2.活动单位；</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3.活动地址；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5.临时停止活动信息。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《政府信息公开条例》、《乡镇综合文化站管理办法》</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37</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辅导和培训基层文化骨干</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1.培训时间；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2.培训单位；</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3.培训地址；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5.临时停止活动信息。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《政府信息公开条例》、《乡镇综合文化站管理办法》</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38</w:t>
            </w:r>
          </w:p>
        </w:tc>
        <w:tc>
          <w:tcPr>
            <w:tcW w:w="734" w:type="dxa"/>
            <w:vMerge w:val="continue"/>
            <w:shd w:val="clear" w:color="auto" w:fill="auto"/>
            <w:noWrap w:val="0"/>
            <w:vAlign w:val="center"/>
          </w:tcPr>
          <w:p>
            <w:pPr>
              <w:spacing w:line="240" w:lineRule="exact"/>
              <w:rPr>
                <w:rFonts w:hint="eastAsia" w:ascii="仿宋_GB2312" w:hAnsi="Times New Roman" w:eastAsia="仿宋_GB2312"/>
                <w:sz w:val="21"/>
                <w:szCs w:val="21"/>
              </w:rPr>
            </w:pP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非物质文化遗产展示传播活动</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1.活动时间；</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2.组织单位；</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3.活动地址；</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4.联系电话；</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5.临时停止活动信息。</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xml:space="preserve">《非物质文化遗产法》、《政府信息公开条例》  </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文化和旅游行政部门，相关公共文化服务机构</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shd w:val="clear" w:color="auto" w:fill="auto"/>
            <w:noWrap w:val="0"/>
            <w:vAlign w:val="center"/>
          </w:tcPr>
          <w:p>
            <w:pPr>
              <w:spacing w:line="240" w:lineRule="exact"/>
              <w:rPr>
                <w:rFonts w:hint="default" w:ascii="仿宋_GB2312" w:hAnsi="Times New Roman" w:eastAsia="仿宋_GB2312"/>
                <w:sz w:val="21"/>
                <w:szCs w:val="21"/>
                <w:lang w:val="en-US" w:eastAsia="zh-CN"/>
              </w:rPr>
            </w:pPr>
            <w:r>
              <w:rPr>
                <w:rFonts w:hint="eastAsia" w:ascii="仿宋_GB2312" w:hAnsi="Times New Roman" w:eastAsia="仿宋_GB2312"/>
                <w:sz w:val="21"/>
                <w:szCs w:val="21"/>
                <w:lang w:val="en-US" w:eastAsia="zh-CN"/>
              </w:rPr>
              <w:t>39</w:t>
            </w:r>
          </w:p>
        </w:tc>
        <w:tc>
          <w:tcPr>
            <w:tcW w:w="734" w:type="dxa"/>
            <w:shd w:val="clear" w:color="auto" w:fill="auto"/>
            <w:noWrap w:val="0"/>
            <w:vAlign w:val="center"/>
          </w:tcPr>
          <w:p>
            <w:pPr>
              <w:spacing w:line="240" w:lineRule="exact"/>
              <w:rPr>
                <w:rFonts w:hint="eastAsia" w:ascii="仿宋_GB2312" w:hAnsi="Times New Roman" w:eastAsia="仿宋_GB2312"/>
                <w:sz w:val="21"/>
                <w:szCs w:val="21"/>
              </w:rPr>
            </w:pPr>
            <w:r>
              <w:rPr>
                <w:rFonts w:hint="eastAsia" w:ascii="仿宋_GB2312" w:hAnsi="Times New Roman" w:eastAsia="仿宋_GB2312"/>
                <w:sz w:val="21"/>
                <w:szCs w:val="21"/>
              </w:rPr>
              <w:t>公共</w:t>
            </w:r>
            <w:r>
              <w:rPr>
                <w:rFonts w:hint="eastAsia" w:ascii="仿宋_GB2312" w:hAnsi="Times New Roman" w:eastAsia="仿宋_GB2312"/>
                <w:sz w:val="21"/>
                <w:szCs w:val="21"/>
              </w:rPr>
              <w:br w:type="textWrapping"/>
            </w:r>
            <w:r>
              <w:rPr>
                <w:rFonts w:hint="eastAsia" w:ascii="仿宋_GB2312" w:hAnsi="Times New Roman" w:eastAsia="仿宋_GB2312"/>
                <w:sz w:val="21"/>
                <w:szCs w:val="21"/>
              </w:rPr>
              <w:t>服务</w:t>
            </w:r>
          </w:p>
        </w:tc>
        <w:tc>
          <w:tcPr>
            <w:tcW w:w="16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文博单位名录</w:t>
            </w:r>
          </w:p>
        </w:tc>
        <w:tc>
          <w:tcPr>
            <w:tcW w:w="178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文物保护管理机构和博物馆名录</w:t>
            </w:r>
          </w:p>
        </w:tc>
        <w:tc>
          <w:tcPr>
            <w:tcW w:w="198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《政府信息公开条例》</w:t>
            </w:r>
          </w:p>
        </w:tc>
        <w:tc>
          <w:tcPr>
            <w:tcW w:w="1814"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信息形成或变更之日起20个工作日内公开</w:t>
            </w:r>
          </w:p>
        </w:tc>
        <w:tc>
          <w:tcPr>
            <w:tcW w:w="1426"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文物行政部门</w:t>
            </w:r>
          </w:p>
        </w:tc>
        <w:tc>
          <w:tcPr>
            <w:tcW w:w="144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■政府网站</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09"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551"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　</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c>
          <w:tcPr>
            <w:tcW w:w="720" w:type="dxa"/>
            <w:shd w:val="clear" w:color="auto" w:fill="auto"/>
            <w:noWrap w:val="0"/>
            <w:vAlign w:val="center"/>
          </w:tcPr>
          <w:p>
            <w:pPr>
              <w:spacing w:line="240" w:lineRule="exact"/>
              <w:rPr>
                <w:rFonts w:ascii="仿宋_GB2312" w:hAnsi="Times New Roman" w:eastAsia="仿宋_GB2312"/>
                <w:sz w:val="21"/>
                <w:szCs w:val="21"/>
              </w:rPr>
            </w:pPr>
            <w:r>
              <w:rPr>
                <w:rFonts w:hint="eastAsia" w:ascii="仿宋_GB2312" w:hAnsi="Times New Roman" w:eastAsia="仿宋_GB2312"/>
                <w:sz w:val="21"/>
                <w:szCs w:val="21"/>
              </w:rPr>
              <w:t>√</w:t>
            </w:r>
          </w:p>
        </w:tc>
      </w:tr>
    </w:tbl>
    <w:p>
      <w:pPr>
        <w:rPr>
          <w:sz w:val="21"/>
          <w:szCs w:val="21"/>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3D443B"/>
    <w:rsid w:val="10753D6A"/>
    <w:rsid w:val="1C813996"/>
    <w:rsid w:val="21C075F4"/>
    <w:rsid w:val="31596DDE"/>
    <w:rsid w:val="446911C5"/>
    <w:rsid w:val="4CCB64C8"/>
    <w:rsid w:val="541114C6"/>
    <w:rsid w:val="554A523C"/>
    <w:rsid w:val="763D443B"/>
    <w:rsid w:val="7DAB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2020-09-23T07:56:00Z</dcterms:created>
  <dc:creator>Administrator</dc:creator>
  <cp:lastModifiedBy>昝忠江</cp:lastModifiedBy>
  <cp:lastPrinted>2020-09-24T00:41:00Z</cp:lastPrinted>
  <dcterms:modified xsi:type="dcterms:W3CDTF">2020-12-14T02:57:09Z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