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华文中宋" w:hAnsi="华文中宋" w:eastAsia="华文中宋" w:cs="华文中宋"/>
          <w:b/>
          <w:bCs/>
          <w:sz w:val="44"/>
          <w:szCs w:val="44"/>
        </w:rPr>
      </w:pPr>
      <w:bookmarkStart w:id="0" w:name="_Toc24724706"/>
      <w:r>
        <w:rPr>
          <w:rFonts w:hint="eastAsia" w:ascii="华文中宋" w:hAnsi="华文中宋" w:eastAsia="华文中宋" w:cs="华文中宋"/>
          <w:b/>
          <w:bCs/>
          <w:sz w:val="44"/>
          <w:szCs w:val="44"/>
          <w:lang w:eastAsia="zh-CN"/>
        </w:rPr>
        <w:t>左云县</w:t>
      </w:r>
      <w:r>
        <w:rPr>
          <w:rFonts w:hint="eastAsia" w:ascii="华文中宋" w:hAnsi="华文中宋" w:eastAsia="华文中宋" w:cs="华文中宋"/>
          <w:b/>
          <w:bCs/>
          <w:sz w:val="44"/>
          <w:szCs w:val="44"/>
        </w:rPr>
        <w:t>义务教</w:t>
      </w:r>
      <w:bookmarkStart w:id="1" w:name="_GoBack"/>
      <w:bookmarkEnd w:id="1"/>
      <w:r>
        <w:rPr>
          <w:rFonts w:hint="eastAsia" w:ascii="华文中宋" w:hAnsi="华文中宋" w:eastAsia="华文中宋" w:cs="华文中宋"/>
          <w:b/>
          <w:bCs/>
          <w:sz w:val="44"/>
          <w:szCs w:val="44"/>
        </w:rPr>
        <w:t>育领域基层政务公开标准目录</w:t>
      </w:r>
      <w:bookmarkEnd w:id="0"/>
    </w:p>
    <w:tbl>
      <w:tblPr>
        <w:tblStyle w:val="3"/>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2340"/>
        <w:gridCol w:w="2520"/>
        <w:gridCol w:w="1620"/>
        <w:gridCol w:w="900"/>
        <w:gridCol w:w="2160"/>
        <w:gridCol w:w="540"/>
        <w:gridCol w:w="709"/>
        <w:gridCol w:w="11"/>
        <w:gridCol w:w="54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0"/>
            <w:vAlign w:val="center"/>
          </w:tcPr>
          <w:p>
            <w:pPr>
              <w:widowControl/>
              <w:jc w:val="center"/>
              <w:rPr>
                <w:rFonts w:hint="eastAsia" w:ascii="黑体" w:hAnsi="Times New Roman" w:eastAsia="黑体"/>
                <w:color w:val="000000"/>
                <w:kern w:val="0"/>
                <w:sz w:val="22"/>
              </w:rPr>
            </w:pPr>
            <w:r>
              <w:rPr>
                <w:rFonts w:hint="eastAsia" w:ascii="黑体" w:hAnsi="宋体" w:eastAsia="黑体"/>
                <w:color w:val="000000"/>
                <w:kern w:val="0"/>
                <w:sz w:val="22"/>
              </w:rPr>
              <w:t>序号</w:t>
            </w:r>
          </w:p>
        </w:tc>
        <w:tc>
          <w:tcPr>
            <w:tcW w:w="1440" w:type="dxa"/>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2340" w:type="dxa"/>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520" w:type="dxa"/>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公开依据</w:t>
            </w:r>
          </w:p>
        </w:tc>
        <w:tc>
          <w:tcPr>
            <w:tcW w:w="1620" w:type="dxa"/>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公开时限</w:t>
            </w:r>
          </w:p>
        </w:tc>
        <w:tc>
          <w:tcPr>
            <w:tcW w:w="900" w:type="dxa"/>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公开主体</w:t>
            </w:r>
          </w:p>
        </w:tc>
        <w:tc>
          <w:tcPr>
            <w:tcW w:w="2160" w:type="dxa"/>
            <w:vMerge w:val="restart"/>
            <w:noWrap w:val="0"/>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公开渠道和载体</w:t>
            </w:r>
          </w:p>
        </w:tc>
        <w:tc>
          <w:tcPr>
            <w:tcW w:w="1249" w:type="dxa"/>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3"/>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widowControl/>
              <w:jc w:val="left"/>
              <w:rPr>
                <w:rFonts w:hint="eastAsia" w:ascii="黑体" w:hAnsi="Times New Roman" w:eastAsia="黑体"/>
                <w:color w:val="000000"/>
                <w:kern w:val="0"/>
                <w:sz w:val="22"/>
              </w:rPr>
            </w:pPr>
          </w:p>
        </w:tc>
        <w:tc>
          <w:tcPr>
            <w:tcW w:w="540" w:type="dxa"/>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一级事项</w:t>
            </w:r>
          </w:p>
        </w:tc>
        <w:tc>
          <w:tcPr>
            <w:tcW w:w="900" w:type="dxa"/>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二级事项</w:t>
            </w:r>
          </w:p>
        </w:tc>
        <w:tc>
          <w:tcPr>
            <w:tcW w:w="2340" w:type="dxa"/>
            <w:vMerge w:val="continue"/>
            <w:noWrap w:val="0"/>
            <w:vAlign w:val="center"/>
          </w:tcPr>
          <w:p>
            <w:pPr>
              <w:widowControl/>
              <w:jc w:val="left"/>
              <w:rPr>
                <w:rFonts w:hint="eastAsia" w:ascii="黑体" w:hAnsi="宋体" w:eastAsia="黑体" w:cs="宋体"/>
                <w:color w:val="000000"/>
                <w:kern w:val="0"/>
                <w:sz w:val="22"/>
              </w:rPr>
            </w:pPr>
          </w:p>
        </w:tc>
        <w:tc>
          <w:tcPr>
            <w:tcW w:w="2520" w:type="dxa"/>
            <w:vMerge w:val="continue"/>
            <w:noWrap w:val="0"/>
            <w:vAlign w:val="center"/>
          </w:tcPr>
          <w:p>
            <w:pPr>
              <w:widowControl/>
              <w:jc w:val="left"/>
              <w:rPr>
                <w:rFonts w:hint="eastAsia" w:ascii="黑体" w:hAnsi="宋体" w:eastAsia="黑体" w:cs="宋体"/>
                <w:color w:val="000000"/>
                <w:kern w:val="0"/>
                <w:sz w:val="22"/>
              </w:rPr>
            </w:pPr>
          </w:p>
        </w:tc>
        <w:tc>
          <w:tcPr>
            <w:tcW w:w="1620" w:type="dxa"/>
            <w:vMerge w:val="continue"/>
            <w:noWrap w:val="0"/>
            <w:vAlign w:val="center"/>
          </w:tcPr>
          <w:p>
            <w:pPr>
              <w:widowControl/>
              <w:jc w:val="left"/>
              <w:rPr>
                <w:rFonts w:hint="eastAsia" w:ascii="黑体" w:hAnsi="宋体" w:eastAsia="黑体" w:cs="宋体"/>
                <w:color w:val="000000"/>
                <w:kern w:val="0"/>
                <w:sz w:val="22"/>
              </w:rPr>
            </w:pPr>
          </w:p>
        </w:tc>
        <w:tc>
          <w:tcPr>
            <w:tcW w:w="900" w:type="dxa"/>
            <w:vMerge w:val="continue"/>
            <w:noWrap w:val="0"/>
            <w:vAlign w:val="center"/>
          </w:tcPr>
          <w:p>
            <w:pPr>
              <w:widowControl/>
              <w:jc w:val="left"/>
              <w:rPr>
                <w:rFonts w:hint="eastAsia" w:ascii="黑体" w:hAnsi="宋体" w:eastAsia="黑体" w:cs="宋体"/>
                <w:color w:val="000000"/>
                <w:kern w:val="0"/>
                <w:sz w:val="22"/>
              </w:rPr>
            </w:pPr>
          </w:p>
        </w:tc>
        <w:tc>
          <w:tcPr>
            <w:tcW w:w="2160" w:type="dxa"/>
            <w:vMerge w:val="continue"/>
            <w:noWrap w:val="0"/>
            <w:vAlign w:val="center"/>
          </w:tcPr>
          <w:p>
            <w:pPr>
              <w:widowControl/>
              <w:jc w:val="left"/>
              <w:rPr>
                <w:rFonts w:hint="eastAsia" w:ascii="黑体" w:hAnsi="宋体" w:eastAsia="黑体" w:cs="宋体"/>
                <w:kern w:val="0"/>
                <w:sz w:val="22"/>
              </w:rPr>
            </w:pPr>
          </w:p>
        </w:tc>
        <w:tc>
          <w:tcPr>
            <w:tcW w:w="540" w:type="dxa"/>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6" w:hRule="atLeast"/>
        </w:trPr>
        <w:tc>
          <w:tcPr>
            <w:tcW w:w="540" w:type="dxa"/>
            <w:vMerge w:val="restart"/>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1</w:t>
            </w:r>
          </w:p>
        </w:tc>
        <w:tc>
          <w:tcPr>
            <w:tcW w:w="540" w:type="dxa"/>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政策</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文件</w:t>
            </w:r>
          </w:p>
        </w:tc>
        <w:tc>
          <w:tcPr>
            <w:tcW w:w="90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教育法律</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《教育法》、《义务教育法》、《民办教育促进法》、《教师法》、《国家通用语言文字法》</w:t>
            </w:r>
          </w:p>
        </w:tc>
        <w:tc>
          <w:tcPr>
            <w:tcW w:w="252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color w:val="000000"/>
                <w:sz w:val="18"/>
                <w:szCs w:val="18"/>
              </w:rPr>
            </w:pPr>
          </w:p>
        </w:tc>
        <w:tc>
          <w:tcPr>
            <w:tcW w:w="90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规范性文件</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部门和地方政府规章、各类教育政策文件</w:t>
            </w:r>
          </w:p>
        </w:tc>
        <w:tc>
          <w:tcPr>
            <w:tcW w:w="252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jc w:val="left"/>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■政府公报</w:t>
            </w:r>
            <w:r>
              <w:rPr>
                <w:rFonts w:hint="eastAsia" w:ascii="仿宋_GB2312" w:hAnsi="仿宋" w:eastAsia="仿宋_GB2312"/>
                <w:color w:val="000000"/>
                <w:sz w:val="18"/>
                <w:szCs w:val="18"/>
              </w:rPr>
              <w:br w:type="textWrapping"/>
            </w:r>
            <w:r>
              <w:rPr>
                <w:rFonts w:hint="eastAsia" w:ascii="仿宋_GB2312" w:hAnsi="仿宋" w:eastAsia="仿宋_GB2312"/>
                <w:color w:val="000000"/>
                <w:sz w:val="18"/>
                <w:szCs w:val="18"/>
              </w:rPr>
              <w:t xml:space="preserve">■两微一端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2</w:t>
            </w:r>
          </w:p>
        </w:tc>
        <w:tc>
          <w:tcPr>
            <w:tcW w:w="540" w:type="dxa"/>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教育概况</w:t>
            </w:r>
          </w:p>
        </w:tc>
        <w:tc>
          <w:tcPr>
            <w:tcW w:w="90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教育事业发展主要情况</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教育事业发展主要情况</w:t>
            </w:r>
          </w:p>
        </w:tc>
        <w:tc>
          <w:tcPr>
            <w:tcW w:w="2520" w:type="dxa"/>
            <w:vMerge w:val="restart"/>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《统计法》、《政府信息公开条例》、《教育统计管理规定》</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jc w:val="left"/>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r>
              <w:rPr>
                <w:rFonts w:hint="eastAsia" w:ascii="仿宋_GB2312" w:hAnsi="仿宋" w:eastAsia="仿宋_GB2312"/>
                <w:color w:val="000000"/>
                <w:sz w:val="18"/>
                <w:szCs w:val="18"/>
              </w:rPr>
              <w:br w:type="textWrapping"/>
            </w:r>
            <w:r>
              <w:rPr>
                <w:rFonts w:hint="eastAsia" w:ascii="仿宋_GB2312" w:hAnsi="仿宋" w:eastAsia="仿宋_GB2312"/>
                <w:color w:val="000000"/>
                <w:sz w:val="18"/>
                <w:szCs w:val="18"/>
              </w:rPr>
              <w:t xml:space="preserve">■两微一端       </w:t>
            </w:r>
          </w:p>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■公开查阅点</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color w:val="000000"/>
                <w:sz w:val="18"/>
                <w:szCs w:val="18"/>
              </w:rPr>
            </w:pPr>
          </w:p>
        </w:tc>
        <w:tc>
          <w:tcPr>
            <w:tcW w:w="90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教育统计数据</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学校数据、在校生数据、教师数据、办学条件数据、县级汇总数据</w:t>
            </w:r>
          </w:p>
        </w:tc>
        <w:tc>
          <w:tcPr>
            <w:tcW w:w="2520" w:type="dxa"/>
            <w:vMerge w:val="continue"/>
            <w:noWrap w:val="0"/>
            <w:vAlign w:val="center"/>
          </w:tcPr>
          <w:p>
            <w:pPr>
              <w:rPr>
                <w:rFonts w:hint="eastAsia" w:ascii="仿宋_GB2312" w:hAnsi="宋体" w:eastAsia="仿宋_GB2312" w:cs="宋体"/>
                <w:color w:val="000000"/>
                <w:sz w:val="18"/>
                <w:szCs w:val="18"/>
              </w:rPr>
            </w:pP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jc w:val="left"/>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r>
              <w:rPr>
                <w:rFonts w:hint="eastAsia" w:ascii="仿宋_GB2312" w:hAnsi="仿宋" w:eastAsia="仿宋_GB2312"/>
                <w:color w:val="000000"/>
                <w:sz w:val="18"/>
                <w:szCs w:val="18"/>
              </w:rPr>
              <w:br w:type="textWrapping"/>
            </w:r>
            <w:r>
              <w:rPr>
                <w:rFonts w:hint="eastAsia" w:ascii="仿宋_GB2312" w:hAnsi="仿宋" w:eastAsia="仿宋_GB2312"/>
                <w:color w:val="000000"/>
                <w:sz w:val="18"/>
                <w:szCs w:val="18"/>
              </w:rPr>
              <w:t xml:space="preserve">■两微一端       </w:t>
            </w:r>
          </w:p>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■公开查阅点</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color w:val="000000"/>
                <w:sz w:val="18"/>
                <w:szCs w:val="18"/>
              </w:rPr>
            </w:pPr>
          </w:p>
        </w:tc>
        <w:tc>
          <w:tcPr>
            <w:tcW w:w="90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义务教育学校名录</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学校名称、学校地址、办学层次、办学类型、办公电话</w:t>
            </w:r>
          </w:p>
        </w:tc>
        <w:tc>
          <w:tcPr>
            <w:tcW w:w="252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r>
              <w:rPr>
                <w:rFonts w:hint="eastAsia" w:ascii="仿宋_GB2312" w:hAnsi="仿宋" w:eastAsia="仿宋_GB2312"/>
                <w:color w:val="000000"/>
                <w:sz w:val="18"/>
                <w:szCs w:val="18"/>
              </w:rPr>
              <w:br w:type="textWrapping"/>
            </w:r>
            <w:r>
              <w:rPr>
                <w:rFonts w:hint="eastAsia" w:ascii="仿宋_GB2312" w:hAnsi="仿宋" w:eastAsia="仿宋_GB2312"/>
                <w:color w:val="000000"/>
                <w:sz w:val="18"/>
                <w:szCs w:val="18"/>
              </w:rPr>
              <w:t xml:space="preserve">■两微一端  </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■公开查阅点</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8" w:hRule="atLeast"/>
        </w:trPr>
        <w:tc>
          <w:tcPr>
            <w:tcW w:w="540" w:type="dxa"/>
            <w:vMerge w:val="restart"/>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3</w:t>
            </w:r>
          </w:p>
        </w:tc>
        <w:tc>
          <w:tcPr>
            <w:tcW w:w="540" w:type="dxa"/>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民办学校信息</w:t>
            </w:r>
          </w:p>
        </w:tc>
        <w:tc>
          <w:tcPr>
            <w:tcW w:w="90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民办学校办学基本信息</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学校名称、办学许可证、办学规模、联系方式</w:t>
            </w:r>
          </w:p>
        </w:tc>
        <w:tc>
          <w:tcPr>
            <w:tcW w:w="2520" w:type="dxa"/>
            <w:vMerge w:val="restart"/>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《民办教育促进法》、《政府信息公开条例》、《国务院关于鼓励社会力量兴办教育 促进民办教育健康发展的若干意见》</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■政府网站</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■公开查阅点</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color w:val="000000"/>
                <w:sz w:val="18"/>
                <w:szCs w:val="18"/>
              </w:rPr>
            </w:pPr>
          </w:p>
        </w:tc>
        <w:tc>
          <w:tcPr>
            <w:tcW w:w="90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民办学校设立、变更、终止等事项行政审批、备案信息</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法律依据、办理流程、审批结果</w:t>
            </w:r>
          </w:p>
        </w:tc>
        <w:tc>
          <w:tcPr>
            <w:tcW w:w="2520" w:type="dxa"/>
            <w:vMerge w:val="continue"/>
            <w:noWrap w:val="0"/>
            <w:vAlign w:val="center"/>
          </w:tcPr>
          <w:p>
            <w:pPr>
              <w:rPr>
                <w:rFonts w:hint="eastAsia" w:ascii="仿宋_GB2312" w:hAnsi="宋体" w:eastAsia="仿宋_GB2312" w:cs="宋体"/>
                <w:color w:val="000000"/>
                <w:sz w:val="18"/>
                <w:szCs w:val="18"/>
              </w:rPr>
            </w:pP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■政府网站           ■公开查阅点</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color w:val="000000"/>
                <w:sz w:val="18"/>
                <w:szCs w:val="18"/>
              </w:rPr>
            </w:pPr>
          </w:p>
        </w:tc>
        <w:tc>
          <w:tcPr>
            <w:tcW w:w="90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日常监管信息</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年检指标、年检程序、年检结果、行政处罚信息</w:t>
            </w:r>
          </w:p>
        </w:tc>
        <w:tc>
          <w:tcPr>
            <w:tcW w:w="2520" w:type="dxa"/>
            <w:vMerge w:val="continue"/>
            <w:noWrap w:val="0"/>
            <w:vAlign w:val="center"/>
          </w:tcPr>
          <w:p>
            <w:pPr>
              <w:rPr>
                <w:rFonts w:hint="eastAsia" w:ascii="仿宋_GB2312" w:hAnsi="宋体" w:eastAsia="仿宋_GB2312" w:cs="宋体"/>
                <w:color w:val="000000"/>
                <w:sz w:val="18"/>
                <w:szCs w:val="18"/>
              </w:rPr>
            </w:pP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■政府网站</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4</w:t>
            </w:r>
          </w:p>
        </w:tc>
        <w:tc>
          <w:tcPr>
            <w:tcW w:w="540" w:type="dxa"/>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财务信息</w:t>
            </w:r>
          </w:p>
        </w:tc>
        <w:tc>
          <w:tcPr>
            <w:tcW w:w="900" w:type="dxa"/>
            <w:noWrap/>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财务信息</w:t>
            </w:r>
          </w:p>
        </w:tc>
        <w:tc>
          <w:tcPr>
            <w:tcW w:w="2340" w:type="dxa"/>
            <w:noWrap w:val="0"/>
            <w:vAlign w:val="center"/>
          </w:tcPr>
          <w:p>
            <w:pPr>
              <w:jc w:val="left"/>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财务管理及监督办法、</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年度经费预决算信息、收费项目及收费标准</w:t>
            </w:r>
          </w:p>
        </w:tc>
        <w:tc>
          <w:tcPr>
            <w:tcW w:w="252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县级、乡级教育部门</w:t>
            </w:r>
          </w:p>
        </w:tc>
        <w:tc>
          <w:tcPr>
            <w:tcW w:w="2160" w:type="dxa"/>
            <w:noWrap w:val="0"/>
            <w:vAlign w:val="center"/>
          </w:tcPr>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■公开查阅点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5</w:t>
            </w:r>
          </w:p>
        </w:tc>
        <w:tc>
          <w:tcPr>
            <w:tcW w:w="540" w:type="dxa"/>
            <w:vMerge w:val="restart"/>
            <w:noWrap/>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招生管理</w:t>
            </w:r>
          </w:p>
        </w:tc>
        <w:tc>
          <w:tcPr>
            <w:tcW w:w="90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学校介绍</w:t>
            </w:r>
          </w:p>
        </w:tc>
        <w:tc>
          <w:tcPr>
            <w:tcW w:w="234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办学性质、办学地点、办学规模、办学基本条件、联系方式等</w:t>
            </w:r>
          </w:p>
        </w:tc>
        <w:tc>
          <w:tcPr>
            <w:tcW w:w="2520" w:type="dxa"/>
            <w:vMerge w:val="restart"/>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《政府信息公开条例》、《教育部关于进一步做好小学升入初中免试就近入学工作的实施意见》、《教育部关于推进中小学信息公开工作的意见》</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县级、乡级教育部门</w:t>
            </w:r>
          </w:p>
        </w:tc>
        <w:tc>
          <w:tcPr>
            <w:tcW w:w="2160" w:type="dxa"/>
            <w:noWrap w:val="0"/>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■公开查阅点    </w:t>
            </w:r>
          </w:p>
        </w:tc>
        <w:tc>
          <w:tcPr>
            <w:tcW w:w="54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sz w:val="18"/>
                <w:szCs w:val="18"/>
              </w:rPr>
            </w:pPr>
          </w:p>
        </w:tc>
        <w:tc>
          <w:tcPr>
            <w:tcW w:w="900" w:type="dxa"/>
            <w:noWrap/>
            <w:vAlign w:val="center"/>
          </w:tcPr>
          <w:p>
            <w:pPr>
              <w:rPr>
                <w:rFonts w:hint="eastAsia" w:ascii="仿宋_GB2312" w:hAnsi="宋体" w:eastAsia="仿宋_GB2312"/>
                <w:sz w:val="18"/>
                <w:szCs w:val="18"/>
              </w:rPr>
            </w:pPr>
            <w:r>
              <w:rPr>
                <w:rFonts w:hint="eastAsia" w:ascii="仿宋_GB2312" w:hAnsi="宋体" w:eastAsia="仿宋_GB2312"/>
                <w:sz w:val="18"/>
                <w:szCs w:val="18"/>
              </w:rPr>
              <w:t>招生政策</w:t>
            </w:r>
          </w:p>
        </w:tc>
        <w:tc>
          <w:tcPr>
            <w:tcW w:w="234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各校招生工作实施方案；随迁子女入学办法；部分适龄儿童或少年延缓入学、休学等特殊需求的政策解读等</w:t>
            </w:r>
          </w:p>
        </w:tc>
        <w:tc>
          <w:tcPr>
            <w:tcW w:w="2520" w:type="dxa"/>
            <w:vMerge w:val="continue"/>
            <w:noWrap w:val="0"/>
            <w:vAlign w:val="center"/>
          </w:tcPr>
          <w:p>
            <w:pPr>
              <w:rPr>
                <w:rFonts w:hint="eastAsia" w:ascii="仿宋_GB2312" w:hAnsi="宋体" w:eastAsia="仿宋_GB2312" w:cs="宋体"/>
                <w:sz w:val="18"/>
                <w:szCs w:val="18"/>
              </w:rPr>
            </w:pP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noWrap w:val="0"/>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■政府网站</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■两微一端  </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■广播电视  </w:t>
            </w:r>
          </w:p>
          <w:p>
            <w:pPr>
              <w:jc w:val="left"/>
              <w:rPr>
                <w:rFonts w:hint="eastAsia" w:ascii="仿宋_GB2312" w:hAnsi="仿宋" w:eastAsia="仿宋_GB2312"/>
                <w:color w:val="000000"/>
                <w:sz w:val="18"/>
                <w:szCs w:val="18"/>
              </w:rPr>
            </w:pPr>
            <w:r>
              <w:rPr>
                <w:rFonts w:hint="eastAsia" w:ascii="仿宋_GB2312" w:hAnsi="仿宋" w:eastAsia="仿宋_GB2312"/>
                <w:color w:val="000000"/>
                <w:sz w:val="18"/>
                <w:szCs w:val="18"/>
              </w:rPr>
              <w:t>■纸质媒体           ■公开查阅点</w:t>
            </w:r>
          </w:p>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■社区/企事业单位/村公示栏（电子屏）   </w:t>
            </w:r>
          </w:p>
        </w:tc>
        <w:tc>
          <w:tcPr>
            <w:tcW w:w="54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noWrap w:val="0"/>
            <w:vAlign w:val="center"/>
          </w:tcPr>
          <w:p>
            <w:pPr>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5</w:t>
            </w:r>
          </w:p>
        </w:tc>
        <w:tc>
          <w:tcPr>
            <w:tcW w:w="540" w:type="dxa"/>
            <w:vMerge w:val="restart"/>
            <w:noWrap/>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招生管理</w:t>
            </w:r>
          </w:p>
        </w:tc>
        <w:tc>
          <w:tcPr>
            <w:tcW w:w="900" w:type="dxa"/>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招生计划</w:t>
            </w:r>
          </w:p>
        </w:tc>
        <w:tc>
          <w:tcPr>
            <w:tcW w:w="234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各校本年度招生计划</w:t>
            </w:r>
          </w:p>
        </w:tc>
        <w:tc>
          <w:tcPr>
            <w:tcW w:w="2520" w:type="dxa"/>
            <w:vMerge w:val="restart"/>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《政府信息公开条例》、《教育部关于进一步做好小学升入初中免试就近入学工作的实施意见》《教育部关于推进中小学信息公开工作的意见》</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noWrap w:val="0"/>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■两微一端</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■社区/企事业单位/村公示栏（电子屏）  </w:t>
            </w:r>
          </w:p>
        </w:tc>
        <w:tc>
          <w:tcPr>
            <w:tcW w:w="54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noWrap w:val="0"/>
            <w:vAlign w:val="center"/>
          </w:tcPr>
          <w:p>
            <w:pPr>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sz w:val="18"/>
                <w:szCs w:val="18"/>
              </w:rPr>
            </w:pPr>
          </w:p>
        </w:tc>
        <w:tc>
          <w:tcPr>
            <w:tcW w:w="900" w:type="dxa"/>
            <w:noWrap/>
            <w:vAlign w:val="center"/>
          </w:tcPr>
          <w:p>
            <w:pPr>
              <w:rPr>
                <w:rFonts w:hint="eastAsia" w:ascii="仿宋_GB2312" w:hAnsi="宋体" w:eastAsia="仿宋_GB2312"/>
                <w:sz w:val="18"/>
                <w:szCs w:val="18"/>
              </w:rPr>
            </w:pPr>
            <w:r>
              <w:rPr>
                <w:rFonts w:hint="eastAsia" w:ascii="仿宋_GB2312" w:hAnsi="宋体" w:eastAsia="仿宋_GB2312"/>
                <w:sz w:val="18"/>
                <w:szCs w:val="18"/>
              </w:rPr>
              <w:t>招生范围</w:t>
            </w:r>
          </w:p>
        </w:tc>
        <w:tc>
          <w:tcPr>
            <w:tcW w:w="234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招生范围、学区划分详细情况</w:t>
            </w:r>
          </w:p>
        </w:tc>
        <w:tc>
          <w:tcPr>
            <w:tcW w:w="2520" w:type="dxa"/>
            <w:vMerge w:val="continue"/>
            <w:noWrap w:val="0"/>
            <w:vAlign w:val="center"/>
          </w:tcPr>
          <w:p>
            <w:pPr>
              <w:rPr>
                <w:rFonts w:hint="eastAsia" w:ascii="仿宋_GB2312" w:hAnsi="宋体" w:eastAsia="仿宋_GB2312" w:cs="宋体"/>
                <w:sz w:val="18"/>
                <w:szCs w:val="18"/>
              </w:rPr>
            </w:pP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noWrap w:val="0"/>
            <w:vAlign w:val="center"/>
          </w:tcPr>
          <w:p>
            <w:pPr>
              <w:jc w:val="left"/>
              <w:rPr>
                <w:rFonts w:hint="eastAsia"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■公开查阅点   </w:t>
            </w:r>
          </w:p>
        </w:tc>
        <w:tc>
          <w:tcPr>
            <w:tcW w:w="54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noWrap/>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sz w:val="18"/>
                <w:szCs w:val="18"/>
              </w:rPr>
            </w:pPr>
          </w:p>
        </w:tc>
        <w:tc>
          <w:tcPr>
            <w:tcW w:w="900" w:type="dxa"/>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招生结果</w:t>
            </w:r>
          </w:p>
        </w:tc>
        <w:tc>
          <w:tcPr>
            <w:tcW w:w="234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各校本年度招生结果</w:t>
            </w:r>
          </w:p>
        </w:tc>
        <w:tc>
          <w:tcPr>
            <w:tcW w:w="2520" w:type="dxa"/>
            <w:vMerge w:val="continue"/>
            <w:noWrap w:val="0"/>
            <w:vAlign w:val="center"/>
          </w:tcPr>
          <w:p>
            <w:pPr>
              <w:rPr>
                <w:rFonts w:hint="eastAsia" w:ascii="仿宋_GB2312" w:hAnsi="宋体" w:eastAsia="仿宋_GB2312" w:cs="宋体"/>
                <w:sz w:val="18"/>
                <w:szCs w:val="18"/>
              </w:rPr>
            </w:pP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noWrap w:val="0"/>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■两微一端  </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■社区/企事业单位/村公示栏（电子屏）    </w:t>
            </w:r>
          </w:p>
        </w:tc>
        <w:tc>
          <w:tcPr>
            <w:tcW w:w="54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noWrap/>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6</w:t>
            </w:r>
          </w:p>
        </w:tc>
        <w:tc>
          <w:tcPr>
            <w:tcW w:w="540" w:type="dxa"/>
            <w:vMerge w:val="restart"/>
            <w:noWrap w:val="0"/>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学生管理</w:t>
            </w:r>
          </w:p>
        </w:tc>
        <w:tc>
          <w:tcPr>
            <w:tcW w:w="900" w:type="dxa"/>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学籍管理</w:t>
            </w:r>
          </w:p>
        </w:tc>
        <w:tc>
          <w:tcPr>
            <w:tcW w:w="234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区域内义务教育阶段学生休学、复学、转学相关政策及所需材料和办理流程；适龄儿童延缓入学所需材料及办理流程；学籍证明、毕（结）业证书遗失办理学历证明确认</w:t>
            </w:r>
          </w:p>
        </w:tc>
        <w:tc>
          <w:tcPr>
            <w:tcW w:w="252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《义务教育法》、《政府信息公开条例》、《中小学生学籍管理办法》</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noWrap w:val="0"/>
            <w:vAlign w:val="center"/>
          </w:tcPr>
          <w:p>
            <w:pPr>
              <w:rPr>
                <w:rFonts w:hint="eastAsia" w:ascii="仿宋_GB2312" w:hAnsi="仿宋" w:eastAsia="仿宋_GB2312"/>
                <w:sz w:val="18"/>
                <w:szCs w:val="18"/>
              </w:rPr>
            </w:pPr>
            <w:r>
              <w:rPr>
                <w:rFonts w:hint="eastAsia" w:ascii="仿宋_GB2312" w:hAnsi="仿宋" w:eastAsia="仿宋_GB2312"/>
                <w:sz w:val="18"/>
                <w:szCs w:val="18"/>
              </w:rPr>
              <w:t xml:space="preserve">■政府网站  </w:t>
            </w:r>
          </w:p>
          <w:p>
            <w:pPr>
              <w:rPr>
                <w:rFonts w:hint="eastAsia" w:ascii="仿宋_GB2312" w:hAnsi="仿宋" w:eastAsia="仿宋_GB2312"/>
                <w:sz w:val="18"/>
                <w:szCs w:val="18"/>
              </w:rPr>
            </w:pPr>
            <w:r>
              <w:rPr>
                <w:rFonts w:hint="eastAsia" w:ascii="仿宋_GB2312" w:hAnsi="仿宋" w:eastAsia="仿宋_GB2312"/>
                <w:sz w:val="18"/>
                <w:szCs w:val="18"/>
              </w:rPr>
              <w:t>■两微一端</w:t>
            </w:r>
          </w:p>
          <w:p>
            <w:pPr>
              <w:rPr>
                <w:rFonts w:hint="eastAsia" w:ascii="仿宋_GB2312" w:hAnsi="仿宋" w:eastAsia="仿宋_GB2312" w:cs="宋体"/>
                <w:sz w:val="18"/>
                <w:szCs w:val="18"/>
              </w:rPr>
            </w:pPr>
            <w:r>
              <w:rPr>
                <w:rFonts w:hint="eastAsia" w:ascii="仿宋_GB2312" w:hAnsi="仿宋" w:eastAsia="仿宋_GB2312"/>
                <w:sz w:val="18"/>
                <w:szCs w:val="18"/>
              </w:rPr>
              <w:t xml:space="preserve">■其他：中小学生学籍管理系统    </w:t>
            </w:r>
          </w:p>
        </w:tc>
        <w:tc>
          <w:tcPr>
            <w:tcW w:w="54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noWrap/>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sz w:val="18"/>
                <w:szCs w:val="18"/>
              </w:rPr>
            </w:pPr>
          </w:p>
        </w:tc>
        <w:tc>
          <w:tcPr>
            <w:tcW w:w="900" w:type="dxa"/>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义务教育学生资助政策</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统一城乡义务教育“两免一补”政策</w:t>
            </w:r>
          </w:p>
        </w:tc>
        <w:tc>
          <w:tcPr>
            <w:tcW w:w="252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《政府信息公开条例》、《国务院关于进一步完善城乡义务教育经费保障机制的通知》</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县级、乡级教育部门</w:t>
            </w:r>
          </w:p>
        </w:tc>
        <w:tc>
          <w:tcPr>
            <w:tcW w:w="2160" w:type="dxa"/>
            <w:noWrap w:val="0"/>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■两微一端</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■公开查阅点</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■社区/企事业单位/村公示栏（电子屏）</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sz w:val="18"/>
                <w:szCs w:val="18"/>
              </w:rPr>
            </w:pPr>
          </w:p>
        </w:tc>
        <w:tc>
          <w:tcPr>
            <w:tcW w:w="900" w:type="dxa"/>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学生评优奖励</w:t>
            </w:r>
          </w:p>
        </w:tc>
        <w:tc>
          <w:tcPr>
            <w:tcW w:w="234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省市县“三好学生”“优秀学生干部”评选标准；评比方法；表彰名单等</w:t>
            </w:r>
          </w:p>
        </w:tc>
        <w:tc>
          <w:tcPr>
            <w:tcW w:w="252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《政府信息公开条例》，当地省市县表彰文件</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noWrap w:val="0"/>
            <w:vAlign w:val="center"/>
          </w:tcPr>
          <w:p>
            <w:pPr>
              <w:rPr>
                <w:rFonts w:hint="eastAsia" w:ascii="仿宋_GB2312" w:hAnsi="仿宋" w:eastAsia="仿宋_GB2312"/>
                <w:sz w:val="18"/>
                <w:szCs w:val="18"/>
              </w:rPr>
            </w:pPr>
            <w:r>
              <w:rPr>
                <w:rFonts w:hint="eastAsia" w:ascii="仿宋_GB2312" w:hAnsi="仿宋" w:eastAsia="仿宋_GB2312"/>
                <w:sz w:val="18"/>
                <w:szCs w:val="18"/>
              </w:rPr>
              <w:t xml:space="preserve">■政府网站  </w:t>
            </w:r>
          </w:p>
          <w:p>
            <w:pPr>
              <w:rPr>
                <w:rFonts w:hint="eastAsia" w:ascii="仿宋_GB2312" w:hAnsi="仿宋" w:eastAsia="仿宋_GB2312"/>
                <w:sz w:val="18"/>
                <w:szCs w:val="18"/>
              </w:rPr>
            </w:pPr>
            <w:r>
              <w:rPr>
                <w:rFonts w:hint="eastAsia" w:ascii="仿宋_GB2312" w:hAnsi="仿宋" w:eastAsia="仿宋_GB2312"/>
                <w:sz w:val="18"/>
                <w:szCs w:val="18"/>
              </w:rPr>
              <w:t>■两微一端</w:t>
            </w:r>
          </w:p>
          <w:p>
            <w:pPr>
              <w:rPr>
                <w:rFonts w:hint="eastAsia" w:ascii="仿宋_GB2312" w:hAnsi="仿宋" w:eastAsia="仿宋_GB2312" w:cs="宋体"/>
                <w:sz w:val="18"/>
                <w:szCs w:val="18"/>
              </w:rPr>
            </w:pPr>
            <w:r>
              <w:rPr>
                <w:rFonts w:hint="eastAsia" w:ascii="仿宋_GB2312" w:hAnsi="仿宋" w:eastAsia="仿宋_GB2312"/>
                <w:sz w:val="18"/>
                <w:szCs w:val="18"/>
              </w:rPr>
              <w:t xml:space="preserve">■社区/企事业单位/村公示栏（电子屏）   </w:t>
            </w:r>
          </w:p>
        </w:tc>
        <w:tc>
          <w:tcPr>
            <w:tcW w:w="54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noWrap/>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6</w:t>
            </w:r>
          </w:p>
        </w:tc>
        <w:tc>
          <w:tcPr>
            <w:tcW w:w="540" w:type="dxa"/>
            <w:noWrap w:val="0"/>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学生管理</w:t>
            </w:r>
          </w:p>
        </w:tc>
        <w:tc>
          <w:tcPr>
            <w:tcW w:w="900" w:type="dxa"/>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优待政策</w:t>
            </w:r>
          </w:p>
        </w:tc>
        <w:tc>
          <w:tcPr>
            <w:tcW w:w="234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军人子女参加中考优待确认办理的材料、流程和政策要求；少数民族考生中考加分确认办理的材料、流程和政策要求；归侨学生、归侨子女、华侨子女和港澳台籍考生中考加分确认；公安英烈和因公牺牲伤残公安民警子女教育优待细则；综合性消防救援队伍人员及其子女教育优待细则</w:t>
            </w:r>
          </w:p>
        </w:tc>
        <w:tc>
          <w:tcPr>
            <w:tcW w:w="252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政府信息公开条例》、《军人子女教育优待办法》、《国务院办公厅关于严格执行党和国家民族政策有关问题的通知》、《归侨侨眷权益保护法》、《教育部、国务院台湾事务办公室关于进一步做好台湾同胞子女在大陆中小学和幼儿园就读工作的若干意见》等</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noWrap w:val="0"/>
            <w:vAlign w:val="center"/>
          </w:tcPr>
          <w:p>
            <w:pPr>
              <w:rPr>
                <w:rFonts w:hint="eastAsia" w:ascii="仿宋_GB2312" w:hAnsi="仿宋" w:eastAsia="仿宋_GB2312"/>
                <w:sz w:val="18"/>
                <w:szCs w:val="18"/>
              </w:rPr>
            </w:pPr>
            <w:r>
              <w:rPr>
                <w:rFonts w:hint="eastAsia" w:ascii="仿宋_GB2312" w:hAnsi="仿宋" w:eastAsia="仿宋_GB2312"/>
                <w:sz w:val="18"/>
                <w:szCs w:val="18"/>
              </w:rPr>
              <w:t xml:space="preserve">■政府网站  </w:t>
            </w:r>
          </w:p>
          <w:p>
            <w:pPr>
              <w:jc w:val="left"/>
              <w:rPr>
                <w:rFonts w:hint="eastAsia" w:ascii="仿宋_GB2312" w:hAnsi="仿宋" w:eastAsia="仿宋_GB2312" w:cs="宋体"/>
                <w:sz w:val="18"/>
                <w:szCs w:val="18"/>
              </w:rPr>
            </w:pPr>
            <w:r>
              <w:rPr>
                <w:rFonts w:hint="eastAsia" w:ascii="仿宋_GB2312" w:hAnsi="仿宋" w:eastAsia="仿宋_GB2312"/>
                <w:sz w:val="18"/>
                <w:szCs w:val="18"/>
              </w:rPr>
              <w:t xml:space="preserve">■两微一端            ■公开查阅点    </w:t>
            </w:r>
          </w:p>
        </w:tc>
        <w:tc>
          <w:tcPr>
            <w:tcW w:w="54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noWrap/>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教师培训</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教师培训政策文件、培训项目组织实施通知</w:t>
            </w:r>
          </w:p>
        </w:tc>
        <w:tc>
          <w:tcPr>
            <w:tcW w:w="252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《教育法》、《教师法》、《中小学教师继续教育规定》</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■政府网站</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color w:val="000000"/>
                <w:sz w:val="18"/>
                <w:szCs w:val="18"/>
              </w:rPr>
            </w:pPr>
          </w:p>
        </w:tc>
        <w:tc>
          <w:tcPr>
            <w:tcW w:w="900" w:type="dxa"/>
            <w:vMerge w:val="restart"/>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教师资格认定</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教师资格认定申请材料；参加体检时间、医疗机构名单、体检合格标准；认定结果；咨询方式、监督举报方式、常见问题等</w:t>
            </w:r>
          </w:p>
        </w:tc>
        <w:tc>
          <w:tcPr>
            <w:tcW w:w="2520" w:type="dxa"/>
            <w:vMerge w:val="restart"/>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《教师法》、《政府信息公开条例》、《教师资格条例》及实施办法、《教育部关于印发〈教师资格证书管理规定〉的通知》</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color w:val="000000"/>
                <w:sz w:val="18"/>
                <w:szCs w:val="18"/>
              </w:rPr>
            </w:pPr>
          </w:p>
        </w:tc>
        <w:tc>
          <w:tcPr>
            <w:tcW w:w="900" w:type="dxa"/>
            <w:vMerge w:val="continue"/>
            <w:noWrap w:val="0"/>
            <w:vAlign w:val="center"/>
          </w:tcPr>
          <w:p>
            <w:pPr>
              <w:rPr>
                <w:rFonts w:hint="eastAsia" w:ascii="仿宋_GB2312" w:hAnsi="宋体" w:eastAsia="仿宋_GB2312" w:cs="宋体"/>
                <w:color w:val="000000"/>
                <w:sz w:val="18"/>
                <w:szCs w:val="18"/>
              </w:rPr>
            </w:pP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中小学、幼儿园教师资格证书补发、换发政策及流程</w:t>
            </w:r>
          </w:p>
        </w:tc>
        <w:tc>
          <w:tcPr>
            <w:tcW w:w="2520" w:type="dxa"/>
            <w:vMerge w:val="continue"/>
            <w:noWrap w:val="0"/>
            <w:vAlign w:val="center"/>
          </w:tcPr>
          <w:p>
            <w:pPr>
              <w:rPr>
                <w:rFonts w:hint="eastAsia" w:ascii="仿宋_GB2312" w:hAnsi="宋体" w:eastAsia="仿宋_GB2312" w:cs="宋体"/>
                <w:color w:val="000000"/>
                <w:sz w:val="18"/>
                <w:szCs w:val="18"/>
              </w:rPr>
            </w:pP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教师公开招聘</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教师招聘计划和公告、拟聘用人员名单公示</w:t>
            </w:r>
          </w:p>
        </w:tc>
        <w:tc>
          <w:tcPr>
            <w:tcW w:w="252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《政府信息公开条例》、《事业单位公开招聘人员暂行规定》、《关于进一步规范事业单位公开招聘工作的通知》、《人力资源社会保障部关于事业单位公开招聘岗位条件设置有关问题的通知》</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■两微一端</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■广播电视  </w:t>
            </w:r>
          </w:p>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■纸质媒体           ■社区/企事业单位/村公示栏（电子屏）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教师</w:t>
            </w:r>
            <w:r>
              <w:rPr>
                <w:rFonts w:hint="eastAsia" w:ascii="仿宋_GB2312" w:hAnsi="宋体" w:eastAsia="仿宋_GB2312" w:cs="宋体"/>
                <w:color w:val="000000"/>
                <w:sz w:val="18"/>
                <w:szCs w:val="18"/>
              </w:rPr>
              <w:br w:type="textWrapping"/>
            </w:r>
            <w:r>
              <w:rPr>
                <w:rFonts w:hint="eastAsia" w:ascii="仿宋_GB2312" w:hAnsi="宋体" w:eastAsia="仿宋_GB2312" w:cs="宋体"/>
                <w:color w:val="000000"/>
                <w:sz w:val="18"/>
                <w:szCs w:val="18"/>
              </w:rPr>
              <w:t>行为</w:t>
            </w:r>
            <w:r>
              <w:rPr>
                <w:rFonts w:hint="eastAsia" w:ascii="仿宋_GB2312" w:hAnsi="宋体" w:eastAsia="仿宋_GB2312" w:cs="宋体"/>
                <w:color w:val="000000"/>
                <w:sz w:val="18"/>
                <w:szCs w:val="18"/>
              </w:rPr>
              <w:br w:type="textWrapping"/>
            </w:r>
            <w:r>
              <w:rPr>
                <w:rFonts w:hint="eastAsia" w:ascii="仿宋_GB2312" w:hAnsi="宋体" w:eastAsia="仿宋_GB2312" w:cs="宋体"/>
                <w:color w:val="000000"/>
                <w:sz w:val="18"/>
                <w:szCs w:val="18"/>
              </w:rPr>
              <w:t>规范</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教师职业行为准则及违规处理办法</w:t>
            </w:r>
          </w:p>
        </w:tc>
        <w:tc>
          <w:tcPr>
            <w:tcW w:w="2520" w:type="dxa"/>
            <w:vMerge w:val="restart"/>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新时代高校教师职业行为十项准则》、《新时代中小学教师职业行为十项准则》、《新时代幼儿园教师职业行为十项准则》、《中小学教师违反职业道德行为处理办法（2018年修订）》、《幼儿园教师违反职业道德行为处理办法》等</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■政府网站</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w:t>
            </w:r>
          </w:p>
        </w:tc>
        <w:tc>
          <w:tcPr>
            <w:tcW w:w="54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0"/>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color w:val="000000"/>
                <w:sz w:val="18"/>
                <w:szCs w:val="18"/>
              </w:rPr>
            </w:pPr>
          </w:p>
        </w:tc>
        <w:tc>
          <w:tcPr>
            <w:tcW w:w="900" w:type="dxa"/>
            <w:vMerge w:val="continue"/>
            <w:noWrap w:val="0"/>
            <w:vAlign w:val="center"/>
          </w:tcPr>
          <w:p>
            <w:pPr>
              <w:rPr>
                <w:rFonts w:hint="eastAsia" w:ascii="仿宋_GB2312" w:hAnsi="宋体" w:eastAsia="仿宋_GB2312" w:cs="宋体"/>
                <w:color w:val="000000"/>
                <w:sz w:val="18"/>
                <w:szCs w:val="18"/>
              </w:rPr>
            </w:pP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对教师有严重违反教师职业行为准则的行政处罚信息</w:t>
            </w:r>
          </w:p>
        </w:tc>
        <w:tc>
          <w:tcPr>
            <w:tcW w:w="2520" w:type="dxa"/>
            <w:vMerge w:val="continue"/>
            <w:noWrap w:val="0"/>
            <w:vAlign w:val="center"/>
          </w:tcPr>
          <w:p>
            <w:pPr>
              <w:rPr>
                <w:rFonts w:hint="eastAsia" w:ascii="仿宋_GB2312" w:hAnsi="宋体" w:eastAsia="仿宋_GB2312" w:cs="宋体"/>
                <w:color w:val="000000"/>
                <w:sz w:val="18"/>
                <w:szCs w:val="18"/>
              </w:rPr>
            </w:pP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0"/>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教师评优评先</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优秀教师的表彰、奖励等行政奖励信息公示</w:t>
            </w:r>
          </w:p>
        </w:tc>
        <w:tc>
          <w:tcPr>
            <w:tcW w:w="252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《教师法》、《中共中央 国务院关于全面深化新时代教师队伍建设改革的意见》</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0"/>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color w:val="000000"/>
                <w:sz w:val="18"/>
                <w:szCs w:val="18"/>
              </w:rPr>
            </w:pPr>
          </w:p>
        </w:tc>
        <w:tc>
          <w:tcPr>
            <w:tcW w:w="900" w:type="dxa"/>
            <w:vMerge w:val="continue"/>
            <w:noWrap w:val="0"/>
            <w:vAlign w:val="center"/>
          </w:tcPr>
          <w:p>
            <w:pPr>
              <w:rPr>
                <w:rFonts w:hint="eastAsia" w:ascii="仿宋_GB2312" w:hAnsi="宋体" w:eastAsia="仿宋_GB2312" w:cs="宋体"/>
                <w:color w:val="000000"/>
                <w:sz w:val="18"/>
                <w:szCs w:val="18"/>
              </w:rPr>
            </w:pP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任教30年乡村教师以上教师申请荣誉证书相关政策</w:t>
            </w:r>
          </w:p>
        </w:tc>
        <w:tc>
          <w:tcPr>
            <w:tcW w:w="252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《政府信息公开条例》、《关于做好乡村学校从教30年教师荣誉证书颁发工作的通知》</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0"/>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color w:val="000000"/>
                <w:sz w:val="18"/>
                <w:szCs w:val="18"/>
              </w:rPr>
            </w:pPr>
          </w:p>
        </w:tc>
        <w:tc>
          <w:tcPr>
            <w:tcW w:w="900" w:type="dxa"/>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教师职称评审</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评审政策、评审通知、学校拟推荐人选名单、评审结果</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、最终结果</w:t>
            </w:r>
          </w:p>
        </w:tc>
        <w:tc>
          <w:tcPr>
            <w:tcW w:w="252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《政府信息公开条例》、《人力资源社会保障部教育部关于印发深化中小学教师职称制度改革的指导意见的通知》</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信息形成（变更）3个工作日内，公示时间不少于7个工作日</w:t>
            </w:r>
          </w:p>
        </w:tc>
        <w:tc>
          <w:tcPr>
            <w:tcW w:w="90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县级、乡级教育部门</w:t>
            </w:r>
          </w:p>
        </w:tc>
        <w:tc>
          <w:tcPr>
            <w:tcW w:w="216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教师</w:t>
            </w:r>
          </w:p>
        </w:tc>
        <w:tc>
          <w:tcPr>
            <w:tcW w:w="54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特岗教师招聘</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岗位设置管理政策、条件、程序等；特岗教师招聘文件及招聘公告；初审结果；笔试成绩；资格复审结果；参加面试人员、面试成绩；进入考察人员名单；拟聘用人员名单；最终聘用结果</w:t>
            </w:r>
          </w:p>
        </w:tc>
        <w:tc>
          <w:tcPr>
            <w:tcW w:w="252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《政府信息公开条例》、《教育部 财政部 人事部 中央编办 关于实施农村义务教育阶段学校教师特设岗位计划的通知》、《教育部 财政部 人力资源社会保障部 中央编办 关于继续组织实施“农村义务教育阶段学校教师特设岗位计划”的通知》等</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信息形成（变更）3个工作日内，公示时间不少于7个工作日</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gridSpan w:val="2"/>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应聘</w:t>
            </w:r>
            <w:r>
              <w:rPr>
                <w:rFonts w:hint="eastAsia" w:ascii="仿宋_GB2312" w:hAnsi="仿宋" w:eastAsia="仿宋_GB2312"/>
                <w:color w:val="000000"/>
                <w:sz w:val="18"/>
                <w:szCs w:val="18"/>
              </w:rPr>
              <w:br w:type="textWrapping"/>
            </w:r>
            <w:r>
              <w:rPr>
                <w:rFonts w:hint="eastAsia" w:ascii="仿宋_GB2312" w:hAnsi="仿宋" w:eastAsia="仿宋_GB2312"/>
                <w:color w:val="000000"/>
                <w:sz w:val="18"/>
                <w:szCs w:val="18"/>
              </w:rPr>
              <w:t>人员</w:t>
            </w:r>
          </w:p>
        </w:tc>
        <w:tc>
          <w:tcPr>
            <w:tcW w:w="54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乡村教师生活补助</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管理制度、实施方案、实施时间、补助范围、发放对象、补助档次标准、发放情况</w:t>
            </w:r>
          </w:p>
        </w:tc>
        <w:tc>
          <w:tcPr>
            <w:tcW w:w="252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《政府信息公开条例》、《教育部 财政部关于落实2013年中央1号文件要求对在连片特困地区工作的乡村教师给予生活补助的通知》、《教育部关于加强乡村教师生活补助经费管理有关工作的通知》</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信息形成（变更）3个工作日内；教师申领情况进行常年公示</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jc w:val="left"/>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■两微一端           ■公开查阅点</w:t>
            </w:r>
          </w:p>
        </w:tc>
        <w:tc>
          <w:tcPr>
            <w:tcW w:w="54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color w:val="000000"/>
                <w:sz w:val="18"/>
                <w:szCs w:val="18"/>
              </w:rPr>
            </w:pPr>
          </w:p>
        </w:tc>
        <w:tc>
          <w:tcPr>
            <w:tcW w:w="90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普通话培训及测试</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开展普通话培训、测试的通知；测试结果查询</w:t>
            </w:r>
          </w:p>
        </w:tc>
        <w:tc>
          <w:tcPr>
            <w:tcW w:w="252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《政府信息公开条例》、《普通话水平测试管理规定》</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■政府网站</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w:t>
            </w:r>
          </w:p>
        </w:tc>
        <w:tc>
          <w:tcPr>
            <w:tcW w:w="54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4" w:hRule="atLeast"/>
        </w:trPr>
        <w:tc>
          <w:tcPr>
            <w:tcW w:w="540" w:type="dxa"/>
            <w:vMerge w:val="restart"/>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8</w:t>
            </w:r>
          </w:p>
        </w:tc>
        <w:tc>
          <w:tcPr>
            <w:tcW w:w="540" w:type="dxa"/>
            <w:noWrap w:val="0"/>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重要政策执行情况</w:t>
            </w:r>
          </w:p>
        </w:tc>
        <w:tc>
          <w:tcPr>
            <w:tcW w:w="90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控辍保学</w:t>
            </w:r>
          </w:p>
        </w:tc>
        <w:tc>
          <w:tcPr>
            <w:tcW w:w="234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“一县一策”控辍保学工作方案；年度工作进展情况（含义务教育学生失学、辍学的总体情况，建档立卡家庭贫困学生总体就学情况）；督导检查结果公告；典型经验和有效做法</w:t>
            </w:r>
          </w:p>
        </w:tc>
        <w:tc>
          <w:tcPr>
            <w:tcW w:w="252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《政府信息公开条例》、《国务院办公厅关于进一步加强控辍保学提高义务教育巩固水平的通知</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noWrap w:val="0"/>
            <w:vAlign w:val="center"/>
          </w:tcPr>
          <w:p>
            <w:pPr>
              <w:spacing w:line="240" w:lineRule="exact"/>
              <w:rPr>
                <w:rFonts w:hint="eastAsia" w:ascii="仿宋_GB2312" w:hAnsi="仿宋" w:eastAsia="仿宋_GB2312"/>
                <w:sz w:val="18"/>
                <w:szCs w:val="18"/>
              </w:rPr>
            </w:pPr>
            <w:r>
              <w:rPr>
                <w:rFonts w:hint="eastAsia" w:ascii="仿宋_GB2312" w:hAnsi="仿宋" w:eastAsia="仿宋_GB2312"/>
                <w:sz w:val="18"/>
                <w:szCs w:val="18"/>
              </w:rPr>
              <w:t>■政府网站</w:t>
            </w:r>
          </w:p>
          <w:p>
            <w:pPr>
              <w:spacing w:line="240" w:lineRule="exact"/>
              <w:jc w:val="left"/>
              <w:rPr>
                <w:rFonts w:hint="eastAsia" w:ascii="仿宋_GB2312" w:hAnsi="仿宋" w:eastAsia="仿宋_GB2312" w:cs="宋体"/>
                <w:sz w:val="18"/>
                <w:szCs w:val="18"/>
              </w:rPr>
            </w:pPr>
            <w:r>
              <w:rPr>
                <w:rFonts w:hint="eastAsia" w:ascii="仿宋_GB2312" w:hAnsi="仿宋" w:eastAsia="仿宋_GB2312"/>
                <w:sz w:val="18"/>
                <w:szCs w:val="18"/>
              </w:rPr>
              <w:t xml:space="preserve">■两微一端           ■公开查阅点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jc w:val="center"/>
              <w:rPr>
                <w:rFonts w:hint="eastAsia" w:ascii="仿宋_GB2312" w:hAnsi="宋体" w:eastAsia="仿宋_GB2312" w:cs="宋体"/>
                <w:color w:val="000000"/>
                <w:sz w:val="18"/>
                <w:szCs w:val="18"/>
              </w:rPr>
            </w:pPr>
          </w:p>
        </w:tc>
        <w:tc>
          <w:tcPr>
            <w:tcW w:w="540" w:type="dxa"/>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重要政策执行情况</w:t>
            </w:r>
          </w:p>
        </w:tc>
        <w:tc>
          <w:tcPr>
            <w:tcW w:w="900" w:type="dxa"/>
            <w:vMerge w:val="restart"/>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农村义务教育学生营养改善计划</w:t>
            </w:r>
          </w:p>
        </w:tc>
        <w:tc>
          <w:tcPr>
            <w:tcW w:w="234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有关政策法规、规章、规范性文件；组织机构和职责，举报电话、信箱或电子邮箱</w:t>
            </w:r>
            <w:r>
              <w:rPr>
                <w:rFonts w:hint="eastAsia" w:ascii="仿宋_GB2312" w:hAnsi="宋体" w:eastAsia="仿宋_GB2312"/>
                <w:sz w:val="18"/>
                <w:szCs w:val="18"/>
              </w:rPr>
              <w:br w:type="textWrapping"/>
            </w:r>
            <w:r>
              <w:rPr>
                <w:rFonts w:hint="eastAsia" w:ascii="仿宋_GB2312" w:hAnsi="宋体" w:eastAsia="仿宋_GB2312"/>
                <w:sz w:val="18"/>
                <w:szCs w:val="18"/>
              </w:rPr>
              <w:t>；供餐企业、托餐家庭名单</w:t>
            </w:r>
          </w:p>
        </w:tc>
        <w:tc>
          <w:tcPr>
            <w:tcW w:w="2520" w:type="dxa"/>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《国务院办公厅关于实施农村义务教育学生营养改善计划的意见》《教育部等十五部门关于印发〈农村义务教育学生营养改善计划实施细则〉等五个配套文件的通知》</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noWrap w:val="0"/>
            <w:vAlign w:val="center"/>
          </w:tcPr>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■政府网站</w:t>
            </w:r>
          </w:p>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 xml:space="preserve">■两微一端 </w:t>
            </w:r>
          </w:p>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 xml:space="preserve">■广播电视  </w:t>
            </w:r>
          </w:p>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■纸质媒体           ■公开查阅点</w:t>
            </w:r>
          </w:p>
          <w:p>
            <w:pPr>
              <w:spacing w:line="240" w:lineRule="exact"/>
              <w:jc w:val="left"/>
              <w:rPr>
                <w:rFonts w:hint="eastAsia" w:ascii="仿宋_GB2312" w:hAnsi="仿宋" w:eastAsia="仿宋_GB2312" w:cs="宋体"/>
                <w:sz w:val="18"/>
                <w:szCs w:val="18"/>
              </w:rPr>
            </w:pPr>
            <w:r>
              <w:rPr>
                <w:rFonts w:hint="eastAsia" w:ascii="仿宋_GB2312" w:hAnsi="仿宋" w:eastAsia="仿宋_GB2312"/>
                <w:sz w:val="18"/>
                <w:szCs w:val="18"/>
              </w:rPr>
              <w:t xml:space="preserve">■便民服务站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color w:val="000000"/>
                <w:sz w:val="18"/>
                <w:szCs w:val="18"/>
              </w:rPr>
            </w:pPr>
          </w:p>
        </w:tc>
        <w:tc>
          <w:tcPr>
            <w:tcW w:w="900" w:type="dxa"/>
            <w:vMerge w:val="continue"/>
            <w:noWrap w:val="0"/>
            <w:vAlign w:val="center"/>
          </w:tcPr>
          <w:p>
            <w:pPr>
              <w:rPr>
                <w:rFonts w:hint="eastAsia" w:ascii="仿宋_GB2312" w:hAnsi="宋体" w:eastAsia="仿宋_GB2312" w:cs="宋体"/>
                <w:color w:val="000000"/>
                <w:sz w:val="18"/>
                <w:szCs w:val="18"/>
              </w:rPr>
            </w:pPr>
          </w:p>
        </w:tc>
        <w:tc>
          <w:tcPr>
            <w:tcW w:w="2340" w:type="dxa"/>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学校食堂饭菜价格、带量食谱；学校膳食委员会名单；学校管理人员陪餐情况；食品安全突发事件应急预案</w:t>
            </w:r>
          </w:p>
        </w:tc>
        <w:tc>
          <w:tcPr>
            <w:tcW w:w="2520" w:type="dxa"/>
            <w:vMerge w:val="continue"/>
            <w:noWrap w:val="0"/>
            <w:vAlign w:val="center"/>
          </w:tcPr>
          <w:p>
            <w:pPr>
              <w:rPr>
                <w:rFonts w:hint="eastAsia" w:ascii="仿宋_GB2312" w:hAnsi="宋体" w:eastAsia="仿宋_GB2312" w:cs="宋体"/>
                <w:color w:val="000000"/>
                <w:sz w:val="18"/>
                <w:szCs w:val="18"/>
              </w:rPr>
            </w:pP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实施营养改善计划的试点学校</w:t>
            </w:r>
          </w:p>
        </w:tc>
        <w:tc>
          <w:tcPr>
            <w:tcW w:w="2160" w:type="dxa"/>
            <w:noWrap w:val="0"/>
            <w:vAlign w:val="center"/>
          </w:tcPr>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■政府网站</w:t>
            </w:r>
          </w:p>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 xml:space="preserve">■两微一端  </w:t>
            </w:r>
          </w:p>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 xml:space="preserve">■广播电视  </w:t>
            </w:r>
          </w:p>
          <w:p>
            <w:pPr>
              <w:spacing w:line="240" w:lineRule="exact"/>
              <w:jc w:val="left"/>
              <w:rPr>
                <w:rFonts w:hint="eastAsia" w:ascii="仿宋_GB2312" w:hAnsi="仿宋" w:eastAsia="仿宋_GB2312" w:cs="宋体"/>
                <w:sz w:val="18"/>
                <w:szCs w:val="18"/>
              </w:rPr>
            </w:pPr>
            <w:r>
              <w:rPr>
                <w:rFonts w:hint="eastAsia" w:ascii="仿宋_GB2312" w:hAnsi="仿宋" w:eastAsia="仿宋_GB2312"/>
                <w:sz w:val="18"/>
                <w:szCs w:val="18"/>
              </w:rPr>
              <w:t xml:space="preserve">■纸质媒体           ■公开查阅点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color w:val="000000"/>
                <w:sz w:val="18"/>
                <w:szCs w:val="18"/>
              </w:rPr>
            </w:pPr>
          </w:p>
        </w:tc>
        <w:tc>
          <w:tcPr>
            <w:tcW w:w="900" w:type="dxa"/>
            <w:vMerge w:val="continue"/>
            <w:noWrap w:val="0"/>
            <w:vAlign w:val="center"/>
          </w:tcPr>
          <w:p>
            <w:pPr>
              <w:rPr>
                <w:rFonts w:hint="eastAsia" w:ascii="仿宋_GB2312" w:hAnsi="宋体" w:eastAsia="仿宋_GB2312" w:cs="宋体"/>
                <w:color w:val="000000"/>
                <w:sz w:val="18"/>
                <w:szCs w:val="18"/>
              </w:rPr>
            </w:pP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供餐企业（单位）配套管理制度，食品安全责任人、供餐方签约人；食品安全突发事件应急预案</w:t>
            </w:r>
          </w:p>
        </w:tc>
        <w:tc>
          <w:tcPr>
            <w:tcW w:w="2520" w:type="dxa"/>
            <w:vMerge w:val="continue"/>
            <w:noWrap w:val="0"/>
            <w:vAlign w:val="center"/>
          </w:tcPr>
          <w:p>
            <w:pPr>
              <w:rPr>
                <w:rFonts w:hint="eastAsia" w:ascii="仿宋_GB2312" w:hAnsi="宋体" w:eastAsia="仿宋_GB2312" w:cs="宋体"/>
                <w:color w:val="000000"/>
                <w:sz w:val="18"/>
                <w:szCs w:val="18"/>
              </w:rPr>
            </w:pP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实施营养改善计划的供餐企业（单位）</w:t>
            </w:r>
          </w:p>
        </w:tc>
        <w:tc>
          <w:tcPr>
            <w:tcW w:w="2160" w:type="dxa"/>
            <w:noWrap w:val="0"/>
            <w:vAlign w:val="center"/>
          </w:tcPr>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 xml:space="preserve">■政府网站  </w:t>
            </w:r>
          </w:p>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 xml:space="preserve">■两微一端  </w:t>
            </w:r>
          </w:p>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 xml:space="preserve">■广播电视  </w:t>
            </w:r>
          </w:p>
          <w:p>
            <w:pPr>
              <w:spacing w:line="240" w:lineRule="exact"/>
              <w:jc w:val="left"/>
              <w:rPr>
                <w:rFonts w:hint="eastAsia" w:ascii="仿宋_GB2312" w:hAnsi="仿宋" w:eastAsia="仿宋_GB2312" w:cs="宋体"/>
                <w:sz w:val="18"/>
                <w:szCs w:val="18"/>
              </w:rPr>
            </w:pPr>
            <w:r>
              <w:rPr>
                <w:rFonts w:hint="eastAsia" w:ascii="仿宋_GB2312" w:hAnsi="仿宋" w:eastAsia="仿宋_GB2312"/>
                <w:sz w:val="18"/>
                <w:szCs w:val="18"/>
              </w:rPr>
              <w:t xml:space="preserve">■纸质媒体           ■公开查阅点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0"/>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8</w:t>
            </w:r>
          </w:p>
        </w:tc>
        <w:tc>
          <w:tcPr>
            <w:tcW w:w="540" w:type="dxa"/>
            <w:vMerge w:val="restart"/>
            <w:noWrap w:val="0"/>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重要政策执行情况</w:t>
            </w:r>
          </w:p>
        </w:tc>
        <w:tc>
          <w:tcPr>
            <w:tcW w:w="900" w:type="dxa"/>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学校体育评价</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体育工作自评结果（体育课、体育训练、体育比赛、体育教师、体育场地、条件保障等）；学校体育发展年度报告（重点反映体育教学改革、体育教师配备、体育经费投入和体育场地设施、学生体质健康测试等方面的情况）</w:t>
            </w:r>
          </w:p>
        </w:tc>
        <w:tc>
          <w:tcPr>
            <w:tcW w:w="252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《政府信息公开条例》、教育部关于印发《学生体质健康监测评价办法》等三个文件的通知</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 xml:space="preserve">■政府网站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sz w:val="18"/>
                <w:szCs w:val="18"/>
              </w:rPr>
            </w:pPr>
          </w:p>
        </w:tc>
        <w:tc>
          <w:tcPr>
            <w:tcW w:w="540" w:type="dxa"/>
            <w:vMerge w:val="continue"/>
            <w:noWrap w:val="0"/>
            <w:vAlign w:val="center"/>
          </w:tcPr>
          <w:p>
            <w:pPr>
              <w:rPr>
                <w:rFonts w:hint="eastAsia" w:ascii="仿宋_GB2312" w:hAnsi="宋体" w:eastAsia="仿宋_GB2312" w:cs="宋体"/>
                <w:sz w:val="18"/>
                <w:szCs w:val="18"/>
              </w:rPr>
            </w:pPr>
          </w:p>
        </w:tc>
        <w:tc>
          <w:tcPr>
            <w:tcW w:w="900" w:type="dxa"/>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学校美育评价</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艺术教育工作自评结果（艺术课程、艺术活动、艺术教师、条件保障、特色发展及学生艺术素质测评等）；学校艺术教育发展年度报告（重点反映艺术课程建设、艺术教师配备、艺术教育管理、艺术教育经费投入和设施设备、课外艺术活动、校园文化艺术环境、重点项目推进以及中小学实施学校艺术教育工作自评制度等方面的情况）</w:t>
            </w:r>
          </w:p>
        </w:tc>
        <w:tc>
          <w:tcPr>
            <w:tcW w:w="252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《政府信息公开条例》、教育部关于印发《中小学生艺术素质测评办法》等三个文件的通知</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 xml:space="preserve">■政府网站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7" w:hRule="atLeast"/>
        </w:trPr>
        <w:tc>
          <w:tcPr>
            <w:tcW w:w="540" w:type="dxa"/>
            <w:vMerge w:val="restart"/>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9</w:t>
            </w:r>
          </w:p>
        </w:tc>
        <w:tc>
          <w:tcPr>
            <w:tcW w:w="540" w:type="dxa"/>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xml:space="preserve">    教育督导</w:t>
            </w:r>
          </w:p>
        </w:tc>
        <w:tc>
          <w:tcPr>
            <w:tcW w:w="90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机构队伍</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督导部门组成、督学名单、</w:t>
            </w:r>
          </w:p>
        </w:tc>
        <w:tc>
          <w:tcPr>
            <w:tcW w:w="2520" w:type="dxa"/>
            <w:vMerge w:val="restart"/>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《教育督导条例》、《县域义务教育均衡发展督导评估暂行办法》、《县域义务教育优质均衡发展督导评估办法》</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 xml:space="preserve">■政府网站  </w:t>
            </w:r>
            <w:r>
              <w:rPr>
                <w:rFonts w:hint="eastAsia" w:ascii="仿宋_GB2312" w:hAnsi="仿宋" w:eastAsia="仿宋_GB2312"/>
                <w:sz w:val="18"/>
                <w:szCs w:val="18"/>
              </w:rPr>
              <w:br w:type="textWrapping"/>
            </w:r>
            <w:r>
              <w:rPr>
                <w:rFonts w:hint="eastAsia" w:ascii="仿宋_GB2312" w:hAnsi="仿宋" w:eastAsia="仿宋_GB2312"/>
                <w:sz w:val="18"/>
                <w:szCs w:val="18"/>
              </w:rPr>
              <w:t xml:space="preserve">■两微一端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color w:val="000000"/>
                <w:sz w:val="18"/>
                <w:szCs w:val="18"/>
              </w:rPr>
            </w:pPr>
          </w:p>
        </w:tc>
        <w:tc>
          <w:tcPr>
            <w:tcW w:w="900" w:type="dxa"/>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学校督导评估</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年度督导工作计划内容、责任区划分和责任督学名单、责任督学日常督导事项，学校督导评估的办法、指标体系、督导评估报告</w:t>
            </w:r>
          </w:p>
        </w:tc>
        <w:tc>
          <w:tcPr>
            <w:tcW w:w="2520" w:type="dxa"/>
            <w:vMerge w:val="continue"/>
            <w:noWrap w:val="0"/>
            <w:vAlign w:val="center"/>
          </w:tcPr>
          <w:p>
            <w:pPr>
              <w:rPr>
                <w:rFonts w:hint="eastAsia" w:ascii="仿宋_GB2312" w:hAnsi="宋体" w:eastAsia="仿宋_GB2312" w:cs="宋体"/>
                <w:color w:val="000000"/>
                <w:sz w:val="18"/>
                <w:szCs w:val="18"/>
              </w:rPr>
            </w:pP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sz w:val="18"/>
                <w:szCs w:val="18"/>
              </w:rPr>
            </w:pPr>
            <w:r>
              <w:rPr>
                <w:rFonts w:hint="eastAsia" w:ascii="仿宋_GB2312" w:hAnsi="仿宋" w:eastAsia="仿宋_GB2312"/>
                <w:sz w:val="18"/>
                <w:szCs w:val="18"/>
              </w:rPr>
              <w:t xml:space="preserve">■政府网站  </w:t>
            </w:r>
          </w:p>
          <w:p>
            <w:pPr>
              <w:rPr>
                <w:rFonts w:hint="eastAsia" w:ascii="仿宋_GB2312" w:hAnsi="仿宋" w:eastAsia="仿宋_GB2312" w:cs="宋体"/>
                <w:sz w:val="18"/>
                <w:szCs w:val="18"/>
              </w:rPr>
            </w:pPr>
            <w:r>
              <w:rPr>
                <w:rFonts w:hint="eastAsia" w:ascii="仿宋_GB2312" w:hAnsi="仿宋" w:eastAsia="仿宋_GB2312"/>
                <w:sz w:val="18"/>
                <w:szCs w:val="18"/>
              </w:rPr>
              <w:t xml:space="preserve">■两微一端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rPr>
                <w:rFonts w:hint="eastAsia" w:ascii="仿宋_GB2312" w:hAnsi="宋体" w:eastAsia="仿宋_GB2312" w:cs="宋体"/>
                <w:color w:val="000000"/>
                <w:sz w:val="18"/>
                <w:szCs w:val="18"/>
              </w:rPr>
            </w:pPr>
          </w:p>
        </w:tc>
        <w:tc>
          <w:tcPr>
            <w:tcW w:w="540" w:type="dxa"/>
            <w:vMerge w:val="continue"/>
            <w:noWrap w:val="0"/>
            <w:vAlign w:val="center"/>
          </w:tcPr>
          <w:p>
            <w:pPr>
              <w:rPr>
                <w:rFonts w:hint="eastAsia" w:ascii="仿宋_GB2312" w:hAnsi="宋体" w:eastAsia="仿宋_GB2312" w:cs="宋体"/>
                <w:color w:val="000000"/>
                <w:sz w:val="18"/>
                <w:szCs w:val="18"/>
              </w:rPr>
            </w:pPr>
          </w:p>
        </w:tc>
        <w:tc>
          <w:tcPr>
            <w:tcW w:w="900" w:type="dxa"/>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义务教育均衡发展督导评估</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义务教育均衡发展有关政策文件、职责权限、管理流程、监督方式、年度工作计划等，义务教育均衡发展状况自评方案及结果，省级教育督导机构对县进行督导评估的工作安排、评估结果</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国务院教育督导委员会对义务教育发展均衡县进行认定的结果、报告</w:t>
            </w:r>
          </w:p>
        </w:tc>
        <w:tc>
          <w:tcPr>
            <w:tcW w:w="2520" w:type="dxa"/>
            <w:vMerge w:val="continue"/>
            <w:noWrap w:val="0"/>
            <w:vAlign w:val="center"/>
          </w:tcPr>
          <w:p>
            <w:pPr>
              <w:rPr>
                <w:rFonts w:hint="eastAsia" w:ascii="仿宋_GB2312" w:hAnsi="宋体" w:eastAsia="仿宋_GB2312" w:cs="宋体"/>
                <w:color w:val="000000"/>
                <w:sz w:val="18"/>
                <w:szCs w:val="18"/>
              </w:rPr>
            </w:pP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sz w:val="18"/>
                <w:szCs w:val="18"/>
              </w:rPr>
            </w:pPr>
            <w:r>
              <w:rPr>
                <w:rFonts w:hint="eastAsia" w:ascii="仿宋_GB2312" w:hAnsi="仿宋" w:eastAsia="仿宋_GB2312"/>
                <w:sz w:val="18"/>
                <w:szCs w:val="18"/>
              </w:rPr>
              <w:t xml:space="preserve">■政府网站  </w:t>
            </w:r>
          </w:p>
          <w:p>
            <w:pPr>
              <w:rPr>
                <w:rFonts w:hint="eastAsia" w:ascii="仿宋_GB2312" w:hAnsi="仿宋" w:eastAsia="仿宋_GB2312"/>
                <w:sz w:val="18"/>
                <w:szCs w:val="18"/>
              </w:rPr>
            </w:pPr>
            <w:r>
              <w:rPr>
                <w:rFonts w:hint="eastAsia" w:ascii="仿宋_GB2312" w:hAnsi="仿宋" w:eastAsia="仿宋_GB2312"/>
                <w:sz w:val="18"/>
                <w:szCs w:val="18"/>
              </w:rPr>
              <w:t xml:space="preserve">■两微一端  </w:t>
            </w:r>
          </w:p>
          <w:p>
            <w:pPr>
              <w:rPr>
                <w:rFonts w:hint="eastAsia" w:ascii="仿宋_GB2312" w:hAnsi="仿宋" w:eastAsia="仿宋_GB2312"/>
                <w:sz w:val="18"/>
                <w:szCs w:val="18"/>
              </w:rPr>
            </w:pPr>
            <w:r>
              <w:rPr>
                <w:rFonts w:hint="eastAsia" w:ascii="仿宋_GB2312" w:hAnsi="仿宋" w:eastAsia="仿宋_GB2312"/>
                <w:sz w:val="18"/>
                <w:szCs w:val="18"/>
              </w:rPr>
              <w:t xml:space="preserve">■广播电视  </w:t>
            </w:r>
          </w:p>
          <w:p>
            <w:pPr>
              <w:jc w:val="left"/>
              <w:rPr>
                <w:rFonts w:hint="eastAsia" w:ascii="仿宋_GB2312" w:hAnsi="仿宋" w:eastAsia="仿宋_GB2312" w:cs="宋体"/>
                <w:sz w:val="18"/>
                <w:szCs w:val="18"/>
              </w:rPr>
            </w:pPr>
            <w:r>
              <w:rPr>
                <w:rFonts w:hint="eastAsia" w:ascii="仿宋_GB2312" w:hAnsi="仿宋" w:eastAsia="仿宋_GB2312"/>
                <w:sz w:val="18"/>
                <w:szCs w:val="18"/>
              </w:rPr>
              <w:t xml:space="preserve">■纸质媒体           ■公开查阅点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10</w:t>
            </w:r>
          </w:p>
        </w:tc>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校园安全</w:t>
            </w:r>
          </w:p>
        </w:tc>
        <w:tc>
          <w:tcPr>
            <w:tcW w:w="900" w:type="dxa"/>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校园安全管理</w:t>
            </w:r>
          </w:p>
        </w:tc>
        <w:tc>
          <w:tcPr>
            <w:tcW w:w="234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校园安全管理法律法规、配套管理制度，学生住宿、用餐、组织活动等安全管理情况，校园安全突发事件应急预案、预警信息、应对情况、调查处理情况，校车使用许可申请政策规定及申请流程</w:t>
            </w:r>
          </w:p>
        </w:tc>
        <w:tc>
          <w:tcPr>
            <w:tcW w:w="2520" w:type="dxa"/>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《政府信息公开条例》、《国务院办公厅关于加强中小学幼儿园安全风险防控体系建设的意见》、《教育部关于推进中小学信息公开工作的意见》、《校车安全管理条例》</w:t>
            </w:r>
          </w:p>
        </w:tc>
        <w:tc>
          <w:tcPr>
            <w:tcW w:w="162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noWrap w:val="0"/>
            <w:vAlign w:val="center"/>
          </w:tcPr>
          <w:p>
            <w:pPr>
              <w:rPr>
                <w:rFonts w:hint="eastAsia" w:ascii="仿宋_GB2312" w:hAnsi="仿宋" w:eastAsia="仿宋_GB2312"/>
                <w:sz w:val="18"/>
                <w:szCs w:val="18"/>
              </w:rPr>
            </w:pPr>
            <w:r>
              <w:rPr>
                <w:rFonts w:hint="eastAsia" w:ascii="仿宋_GB2312" w:hAnsi="仿宋" w:eastAsia="仿宋_GB2312"/>
                <w:sz w:val="18"/>
                <w:szCs w:val="18"/>
              </w:rPr>
              <w:t xml:space="preserve">■政府网站  </w:t>
            </w:r>
          </w:p>
          <w:p>
            <w:pPr>
              <w:rPr>
                <w:rFonts w:hint="eastAsia" w:ascii="仿宋_GB2312" w:hAnsi="仿宋" w:eastAsia="仿宋_GB2312"/>
                <w:sz w:val="18"/>
                <w:szCs w:val="18"/>
              </w:rPr>
            </w:pPr>
            <w:r>
              <w:rPr>
                <w:rFonts w:hint="eastAsia" w:ascii="仿宋_GB2312" w:hAnsi="仿宋" w:eastAsia="仿宋_GB2312"/>
                <w:sz w:val="18"/>
                <w:szCs w:val="18"/>
              </w:rPr>
              <w:t xml:space="preserve">■广播电视  </w:t>
            </w:r>
          </w:p>
          <w:p>
            <w:pPr>
              <w:jc w:val="left"/>
              <w:rPr>
                <w:rFonts w:hint="eastAsia" w:ascii="仿宋_GB2312" w:hAnsi="仿宋" w:eastAsia="仿宋_GB2312" w:cs="宋体"/>
                <w:sz w:val="18"/>
                <w:szCs w:val="18"/>
              </w:rPr>
            </w:pPr>
            <w:r>
              <w:rPr>
                <w:rFonts w:hint="eastAsia" w:ascii="仿宋_GB2312" w:hAnsi="仿宋" w:eastAsia="仿宋_GB2312"/>
                <w:sz w:val="18"/>
                <w:szCs w:val="18"/>
              </w:rPr>
              <w:t xml:space="preserve">■纸质媒体           ■公开查阅点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AB206D"/>
    <w:rsid w:val="498831E7"/>
    <w:rsid w:val="52AB20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2020-11-13T02:11:00Z</dcterms:created>
  <dc:creator>浩然</dc:creator>
  <cp:lastModifiedBy>昝忠江</cp:lastModifiedBy>
  <dcterms:modified xsi:type="dcterms:W3CDTF">2020-12-14T03:05:14Z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