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eastAsia="zh-CN"/>
        </w:rPr>
      </w:pPr>
      <w:r>
        <w:rPr>
          <w:rFonts w:hint="eastAsia" w:ascii="宋体" w:hAnsi="宋体" w:eastAsia="宋体" w:cs="宋体"/>
          <w:sz w:val="44"/>
          <w:szCs w:val="44"/>
          <w:lang w:val="en-US" w:eastAsia="zh-CN"/>
        </w:rPr>
        <w:t>马道头</w:t>
      </w:r>
      <w:r>
        <w:rPr>
          <w:rFonts w:hint="eastAsia" w:ascii="宋体" w:hAnsi="宋体" w:eastAsia="宋体" w:cs="宋体"/>
          <w:sz w:val="44"/>
          <w:szCs w:val="44"/>
          <w:lang w:eastAsia="zh-CN"/>
        </w:rPr>
        <w:t>乡政府政务公开事项标准目录（</w:t>
      </w:r>
      <w:r>
        <w:rPr>
          <w:rFonts w:hint="eastAsia" w:ascii="宋体" w:hAnsi="宋体" w:eastAsia="宋体" w:cs="宋体"/>
          <w:sz w:val="44"/>
          <w:szCs w:val="44"/>
          <w:lang w:val="en-US" w:eastAsia="zh-CN"/>
        </w:rPr>
        <w:t>2020</w:t>
      </w:r>
      <w:r>
        <w:rPr>
          <w:rFonts w:hint="eastAsia" w:ascii="宋体" w:hAnsi="宋体" w:eastAsia="宋体" w:cs="宋体"/>
          <w:sz w:val="44"/>
          <w:szCs w:val="44"/>
          <w:lang w:eastAsia="zh-CN"/>
        </w:rPr>
        <w:t>）</w:t>
      </w:r>
    </w:p>
    <w:p>
      <w:pPr>
        <w:jc w:val="center"/>
        <w:rPr>
          <w:rFonts w:hint="eastAsia"/>
          <w:lang w:eastAsia="zh-CN"/>
        </w:rPr>
      </w:pPr>
    </w:p>
    <w:tbl>
      <w:tblPr>
        <w:tblStyle w:val="6"/>
        <w:tblW w:w="10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562"/>
        <w:gridCol w:w="1079"/>
        <w:gridCol w:w="917"/>
        <w:gridCol w:w="2137"/>
        <w:gridCol w:w="1659"/>
        <w:gridCol w:w="1196"/>
        <w:gridCol w:w="125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序号</w:t>
            </w:r>
          </w:p>
        </w:tc>
        <w:tc>
          <w:tcPr>
            <w:tcW w:w="56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过程</w:t>
            </w:r>
          </w:p>
        </w:tc>
        <w:tc>
          <w:tcPr>
            <w:tcW w:w="1996"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公开事项</w:t>
            </w:r>
          </w:p>
        </w:tc>
        <w:tc>
          <w:tcPr>
            <w:tcW w:w="2137"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公开内容</w:t>
            </w:r>
          </w:p>
          <w:p>
            <w:pPr>
              <w:jc w:val="center"/>
              <w:rPr>
                <w:rFonts w:hint="eastAsia"/>
                <w:sz w:val="24"/>
                <w:szCs w:val="24"/>
                <w:vertAlign w:val="baseline"/>
                <w:lang w:eastAsia="zh-CN"/>
              </w:rPr>
            </w:pPr>
            <w:r>
              <w:rPr>
                <w:rFonts w:hint="eastAsia"/>
                <w:sz w:val="24"/>
                <w:szCs w:val="24"/>
                <w:vertAlign w:val="baseline"/>
                <w:lang w:eastAsia="zh-CN"/>
              </w:rPr>
              <w:t>（要素）</w:t>
            </w:r>
          </w:p>
        </w:tc>
        <w:tc>
          <w:tcPr>
            <w:tcW w:w="1659"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公开依据</w:t>
            </w:r>
          </w:p>
        </w:tc>
        <w:tc>
          <w:tcPr>
            <w:tcW w:w="119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公开时限</w:t>
            </w:r>
          </w:p>
        </w:tc>
        <w:tc>
          <w:tcPr>
            <w:tcW w:w="1255"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公开主体</w:t>
            </w:r>
          </w:p>
        </w:tc>
        <w:tc>
          <w:tcPr>
            <w:tcW w:w="1186"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公开渠道</w:t>
            </w:r>
          </w:p>
          <w:p>
            <w:pPr>
              <w:jc w:val="center"/>
              <w:rPr>
                <w:rFonts w:hint="eastAsia"/>
                <w:sz w:val="24"/>
                <w:szCs w:val="24"/>
                <w:vertAlign w:val="baseline"/>
                <w:lang w:eastAsia="zh-CN"/>
              </w:rPr>
            </w:pPr>
            <w:r>
              <w:rPr>
                <w:rFonts w:hint="eastAsia"/>
                <w:sz w:val="24"/>
                <w:szCs w:val="24"/>
                <w:vertAlign w:val="baseline"/>
                <w:lang w:eastAsia="zh-CN"/>
              </w:rPr>
              <w:t>和载体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pPr>
              <w:jc w:val="center"/>
              <w:rPr>
                <w:rFonts w:hint="eastAsia"/>
                <w:vertAlign w:val="baseline"/>
                <w:lang w:eastAsia="zh-CN"/>
              </w:rPr>
            </w:pPr>
          </w:p>
        </w:tc>
        <w:tc>
          <w:tcPr>
            <w:tcW w:w="562" w:type="dxa"/>
            <w:vMerge w:val="continue"/>
            <w:vAlign w:val="center"/>
          </w:tcPr>
          <w:p>
            <w:pPr>
              <w:jc w:val="center"/>
              <w:rPr>
                <w:rFonts w:hint="eastAsia"/>
                <w:vertAlign w:val="baseline"/>
                <w:lang w:eastAsia="zh-CN"/>
              </w:rPr>
            </w:pPr>
          </w:p>
        </w:tc>
        <w:tc>
          <w:tcPr>
            <w:tcW w:w="1079" w:type="dxa"/>
            <w:vAlign w:val="center"/>
          </w:tcPr>
          <w:p>
            <w:pPr>
              <w:jc w:val="center"/>
              <w:rPr>
                <w:rFonts w:hint="eastAsia"/>
                <w:sz w:val="24"/>
                <w:szCs w:val="24"/>
                <w:vertAlign w:val="baseline"/>
                <w:lang w:eastAsia="zh-CN"/>
              </w:rPr>
            </w:pPr>
            <w:r>
              <w:rPr>
                <w:rFonts w:hint="eastAsia"/>
                <w:sz w:val="24"/>
                <w:szCs w:val="24"/>
                <w:vertAlign w:val="baseline"/>
                <w:lang w:eastAsia="zh-CN"/>
              </w:rPr>
              <w:t>一级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917" w:type="dxa"/>
            <w:vAlign w:val="center"/>
          </w:tcPr>
          <w:p>
            <w:pPr>
              <w:jc w:val="center"/>
              <w:rPr>
                <w:rFonts w:hint="eastAsia"/>
                <w:sz w:val="24"/>
                <w:szCs w:val="24"/>
                <w:vertAlign w:val="baseline"/>
                <w:lang w:eastAsia="zh-CN"/>
              </w:rPr>
            </w:pPr>
            <w:r>
              <w:rPr>
                <w:rFonts w:hint="eastAsia"/>
                <w:sz w:val="24"/>
                <w:szCs w:val="24"/>
                <w:vertAlign w:val="baseline"/>
                <w:lang w:eastAsia="zh-CN"/>
              </w:rPr>
              <w:t>二级</w:t>
            </w:r>
          </w:p>
          <w:p>
            <w:pPr>
              <w:jc w:val="center"/>
              <w:rPr>
                <w:rFonts w:hint="eastAsia"/>
                <w:sz w:val="24"/>
                <w:szCs w:val="24"/>
                <w:vertAlign w:val="baseline"/>
                <w:lang w:eastAsia="zh-CN"/>
              </w:rPr>
            </w:pPr>
            <w:r>
              <w:rPr>
                <w:rFonts w:hint="eastAsia"/>
                <w:sz w:val="24"/>
                <w:szCs w:val="24"/>
                <w:vertAlign w:val="baseline"/>
                <w:lang w:eastAsia="zh-CN"/>
              </w:rPr>
              <w:t>目录</w:t>
            </w:r>
          </w:p>
        </w:tc>
        <w:tc>
          <w:tcPr>
            <w:tcW w:w="2137" w:type="dxa"/>
            <w:vMerge w:val="continue"/>
            <w:vAlign w:val="center"/>
          </w:tcPr>
          <w:p>
            <w:pPr>
              <w:jc w:val="center"/>
              <w:rPr>
                <w:rFonts w:hint="eastAsia"/>
                <w:vertAlign w:val="baseline"/>
                <w:lang w:eastAsia="zh-CN"/>
              </w:rPr>
            </w:pPr>
          </w:p>
        </w:tc>
        <w:tc>
          <w:tcPr>
            <w:tcW w:w="1659" w:type="dxa"/>
            <w:vMerge w:val="continue"/>
            <w:vAlign w:val="center"/>
          </w:tcPr>
          <w:p>
            <w:pPr>
              <w:jc w:val="center"/>
              <w:rPr>
                <w:rFonts w:hint="eastAsia"/>
                <w:vertAlign w:val="baseline"/>
                <w:lang w:eastAsia="zh-CN"/>
              </w:rPr>
            </w:pPr>
          </w:p>
        </w:tc>
        <w:tc>
          <w:tcPr>
            <w:tcW w:w="1196" w:type="dxa"/>
            <w:vMerge w:val="continue"/>
            <w:vAlign w:val="center"/>
          </w:tcPr>
          <w:p>
            <w:pPr>
              <w:jc w:val="center"/>
              <w:rPr>
                <w:rFonts w:hint="eastAsia"/>
                <w:vertAlign w:val="baseline"/>
                <w:lang w:eastAsia="zh-CN"/>
              </w:rPr>
            </w:pPr>
          </w:p>
        </w:tc>
        <w:tc>
          <w:tcPr>
            <w:tcW w:w="1255" w:type="dxa"/>
            <w:vMerge w:val="continue"/>
            <w:vAlign w:val="center"/>
          </w:tcPr>
          <w:p>
            <w:pPr>
              <w:jc w:val="center"/>
              <w:rPr>
                <w:rFonts w:hint="eastAsia"/>
                <w:vertAlign w:val="baseline"/>
                <w:lang w:eastAsia="zh-CN"/>
              </w:rPr>
            </w:pPr>
          </w:p>
        </w:tc>
        <w:tc>
          <w:tcPr>
            <w:tcW w:w="1186" w:type="dxa"/>
            <w:vMerge w:val="continue"/>
            <w:vAlign w:val="center"/>
          </w:tcPr>
          <w:p>
            <w:pPr>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jc w:val="center"/>
        </w:trPr>
        <w:tc>
          <w:tcPr>
            <w:tcW w:w="562"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决策</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本级政府文件</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本级政府制定的文件</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期限为文件有效期</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重大决策预公开</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公开涉及群众切身利益需要社会广泛知晓的重要改革方案、重大政策措施和重点工程项目等，公开意见收集和采纳情况。</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《重大行政决策程序暂行条例》（国务院令第</w:t>
            </w:r>
            <w:r>
              <w:rPr>
                <w:rFonts w:hint="eastAsia" w:ascii="仿宋" w:hAnsi="仿宋" w:eastAsia="仿宋" w:cs="仿宋"/>
                <w:sz w:val="21"/>
                <w:szCs w:val="21"/>
                <w:vertAlign w:val="baseline"/>
                <w:lang w:val="en-US" w:eastAsia="zh-CN"/>
              </w:rPr>
              <w:t>713号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i w:val="0"/>
                <w:caps w:val="0"/>
                <w:color w:val="333333"/>
                <w:spacing w:val="0"/>
                <w:sz w:val="21"/>
                <w:szCs w:val="21"/>
                <w:u w:val="none"/>
                <w:shd w:val="clear" w:fill="FFFFFF"/>
              </w:rPr>
              <w:t>征求公众意见的时间不得少于20天</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政府工作报告</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发布经本级人代会审议通过的年度政府工作报告</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执行和结果</w:t>
            </w: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年度重点工作任务分解、执行及落实情况</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政府工作报告分解；重大决策、重要政策、政府工作报告、重点改革任务、重大工程项目、规划计划的执行措施、实施步骤、责任分工、监督方式及年度重点工作的阶段性进展或按月（季度）取得的成效、落实情况通报和后续举措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&lt;关于全面推进政务公开工作的意见&gt;的通知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经济和社会发展统计信息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年度统计信息及年度统计数据分析；月度统计数据；月度季度统计数据分析等。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《中华人民共和国统计法实施细则》（国务院令第</w:t>
            </w:r>
            <w:r>
              <w:rPr>
                <w:rFonts w:hint="eastAsia" w:ascii="仿宋" w:hAnsi="仿宋" w:eastAsia="仿宋" w:cs="仿宋"/>
                <w:sz w:val="21"/>
                <w:szCs w:val="21"/>
                <w:vertAlign w:val="baseline"/>
                <w:lang w:val="en-US" w:eastAsia="zh-CN"/>
              </w:rPr>
              <w:t>453号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马道头乡</w:t>
            </w:r>
            <w:r>
              <w:rPr>
                <w:rFonts w:hint="eastAsia" w:ascii="仿宋" w:hAnsi="仿宋" w:eastAsia="仿宋" w:cs="仿宋"/>
                <w:sz w:val="21"/>
                <w:szCs w:val="21"/>
                <w:vertAlign w:val="baseline"/>
                <w:lang w:eastAsia="zh-CN"/>
              </w:rPr>
              <w:t>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建议提案办理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人大代表建议和政协委员提案办理工作制度、办理情况年度报告、办理答复。</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《国务院办公厅关于做好全国人大代表建议和全国政协委员提案办理结果公开工作的通知》（国办发〔</w:t>
            </w:r>
            <w:r>
              <w:rPr>
                <w:rFonts w:hint="eastAsia" w:ascii="仿宋" w:hAnsi="仿宋" w:eastAsia="仿宋" w:cs="仿宋"/>
                <w:sz w:val="21"/>
                <w:szCs w:val="21"/>
                <w:vertAlign w:val="baseline"/>
                <w:lang w:val="en-US" w:eastAsia="zh-CN"/>
              </w:rPr>
              <w:t>2014</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管理和服务</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政府领导</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领导分工</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机构设置</w:t>
            </w: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乡简介</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乡简介及特色</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内设机构</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w:t>
            </w:r>
            <w:r>
              <w:rPr>
                <w:rFonts w:hint="eastAsia" w:ascii="仿宋" w:hAnsi="仿宋" w:eastAsia="仿宋" w:cs="仿宋"/>
                <w:sz w:val="21"/>
                <w:szCs w:val="21"/>
                <w:vertAlign w:val="baseline"/>
                <w:lang w:val="en-US" w:eastAsia="zh-CN"/>
              </w:rPr>
              <w:t>联系方式</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1"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基层站所</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080300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行政村</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080400</w:t>
            </w:r>
          </w:p>
        </w:tc>
        <w:tc>
          <w:tcPr>
            <w:tcW w:w="2137"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名称、职能、办公地址、负责人、联系方式等。</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人事信息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人事任免、人员招考录用等信息。</w:t>
            </w:r>
          </w:p>
        </w:tc>
        <w:tc>
          <w:tcPr>
            <w:tcW w:w="1659" w:type="dxa"/>
            <w:vAlign w:val="center"/>
          </w:tcPr>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《中华人民共和国政府信息公开条例》（国务院令第</w:t>
            </w:r>
            <w:r>
              <w:rPr>
                <w:rFonts w:hint="eastAsia" w:ascii="仿宋" w:hAnsi="仿宋" w:eastAsia="仿宋" w:cs="仿宋"/>
                <w:sz w:val="21"/>
                <w:szCs w:val="21"/>
                <w:vertAlign w:val="baseline"/>
                <w:lang w:val="en-US" w:eastAsia="zh-CN"/>
              </w:rPr>
              <w:t>711号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财政资金</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年度财政预决算</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上年度财政预算执行情况和本年度财政预算草案报告；本年度预算报表及说明，预算调整的决定或批复；上年度决算报表及说明信息。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“三公”经费情况</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本年度“三公”经费预算安排；上年度“三公”经费决算报告包括细化说明因公出国（境）团组数及人数；国内公务接待的批次、人次；“三公”经费增减变化原因等信息。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《中华人民共和国预算法》；</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&lt;关于进一步推进预算公开工作的意见&gt;的通知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13号</w:t>
            </w:r>
            <w:r>
              <w:rPr>
                <w:rFonts w:hint="eastAsia" w:ascii="仿宋" w:hAnsi="仿宋" w:eastAsia="仿宋" w:cs="仿宋"/>
                <w:sz w:val="21"/>
                <w:szCs w:val="21"/>
                <w:vertAlign w:val="baseline"/>
                <w:lang w:eastAsia="zh-CN"/>
              </w:rPr>
              <w:t>）；</w:t>
            </w:r>
          </w:p>
          <w:p>
            <w:pPr>
              <w:jc w:val="left"/>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《关于印发</w:t>
            </w:r>
            <w:r>
              <w:rPr>
                <w:rFonts w:hint="eastAsia" w:ascii="仿宋" w:hAnsi="仿宋" w:eastAsia="仿宋" w:cs="仿宋"/>
                <w:sz w:val="21"/>
                <w:szCs w:val="21"/>
                <w:vertAlign w:val="baseline"/>
                <w:lang w:val="en-US" w:eastAsia="zh-CN"/>
              </w:rPr>
              <w:t>&lt;地方预决算公开操作规程&gt;的通知</w:t>
            </w:r>
            <w:r>
              <w:rPr>
                <w:rFonts w:hint="eastAsia" w:ascii="仿宋" w:hAnsi="仿宋" w:eastAsia="仿宋" w:cs="仿宋"/>
                <w:sz w:val="21"/>
                <w:szCs w:val="21"/>
                <w:vertAlign w:val="baseline"/>
                <w:lang w:eastAsia="zh-CN"/>
              </w:rPr>
              <w:t>》（财预〔</w:t>
            </w:r>
            <w:r>
              <w:rPr>
                <w:rFonts w:hint="eastAsia" w:ascii="仿宋" w:hAnsi="仿宋" w:eastAsia="仿宋" w:cs="仿宋"/>
                <w:sz w:val="21"/>
                <w:szCs w:val="21"/>
                <w:vertAlign w:val="baseline"/>
                <w:lang w:val="en-US" w:eastAsia="zh-CN"/>
              </w:rPr>
              <w:t>2016</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143号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restart"/>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应急管理</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应急预案</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110100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总体预案、事故灾害类预案、社会安全事件类预案、自然灾害类预案和公共卫生事件类预案等。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《国务院办公厅关于印发突发事件应急预案管理办法的通知》（国办发〔</w:t>
            </w:r>
            <w:r>
              <w:rPr>
                <w:rFonts w:hint="eastAsia" w:ascii="仿宋" w:hAnsi="仿宋" w:eastAsia="仿宋" w:cs="仿宋"/>
                <w:sz w:val="21"/>
                <w:szCs w:val="21"/>
                <w:vertAlign w:val="baseline"/>
                <w:lang w:val="en-US" w:eastAsia="zh-CN"/>
              </w:rPr>
              <w:t>2013</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101号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Merge w:val="continue"/>
            <w:vAlign w:val="center"/>
          </w:tcPr>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预警信息及应对情况</w:t>
            </w:r>
          </w:p>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110200</w:t>
            </w: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事故灾害类、社会安全事件类、自然灾害类预案和公共卫生事件类预警信息及采取的应急处置措施与应对结果等。</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《中华人民共和国突发事件应对法》（主席令第</w:t>
            </w:r>
            <w:r>
              <w:rPr>
                <w:rFonts w:hint="eastAsia" w:ascii="仿宋" w:hAnsi="仿宋" w:eastAsia="仿宋" w:cs="仿宋"/>
                <w:sz w:val="21"/>
                <w:szCs w:val="21"/>
                <w:vertAlign w:val="baseline"/>
                <w:lang w:val="en-US" w:eastAsia="zh-CN"/>
              </w:rPr>
              <w:t>69号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权责清单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公开乡级政府权力清单和责任清单，乡级政府廉政风险点情况表，乡级政府权力运行流程图。</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《中共中央办公厅国务院办公厅印发</w:t>
            </w:r>
            <w:r>
              <w:rPr>
                <w:rFonts w:hint="eastAsia" w:ascii="仿宋" w:hAnsi="仿宋" w:eastAsia="仿宋" w:cs="仿宋"/>
                <w:sz w:val="21"/>
                <w:szCs w:val="21"/>
                <w:vertAlign w:val="baseline"/>
                <w:lang w:val="en-US" w:eastAsia="zh-CN"/>
              </w:rPr>
              <w:t>&lt;官员推行地方各级政府工作部门权力清单制度的指导意见&gt;的通知</w:t>
            </w:r>
            <w:r>
              <w:rPr>
                <w:rFonts w:hint="eastAsia" w:ascii="仿宋" w:hAnsi="仿宋" w:eastAsia="仿宋" w:cs="仿宋"/>
                <w:sz w:val="21"/>
                <w:szCs w:val="21"/>
                <w:vertAlign w:val="baseline"/>
                <w:lang w:eastAsia="zh-CN"/>
              </w:rPr>
              <w:t>》《中办发〔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21号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《国务院办公厅关于做好证明事项清理工作的通知》（国办发〔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47号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按照法定时间公开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公开服务清单</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公开公共服务目录清单，包括提供所有服务事项的名称、内容、办理主体、行使依据、期限、监督渠道等信息。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《国务院办公厅关于简化优化公共服务流程方便基层群众办事创业的通知》（国办发〔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86号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人口与计生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人口计生的相关政策，奖励与帮扶，工作推进。</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《国家卫生计生委办公厅关于印发医院、计划生育技术服务机构等</w:t>
            </w:r>
            <w:r>
              <w:rPr>
                <w:rFonts w:hint="eastAsia" w:ascii="仿宋" w:hAnsi="仿宋" w:eastAsia="仿宋" w:cs="仿宋"/>
                <w:sz w:val="21"/>
                <w:szCs w:val="21"/>
                <w:vertAlign w:val="baseline"/>
                <w:lang w:val="en-US" w:eastAsia="zh-CN"/>
              </w:rPr>
              <w:t>9类医疗卫生机构信息公开目录的通知</w:t>
            </w:r>
            <w:r>
              <w:rPr>
                <w:rFonts w:hint="eastAsia" w:ascii="仿宋" w:hAnsi="仿宋" w:eastAsia="仿宋" w:cs="仿宋"/>
                <w:sz w:val="21"/>
                <w:szCs w:val="21"/>
                <w:vertAlign w:val="baseline"/>
                <w:lang w:eastAsia="zh-CN"/>
              </w:rPr>
              <w:t>》（国卫办政务发〔</w:t>
            </w:r>
            <w:r>
              <w:rPr>
                <w:rFonts w:hint="eastAsia" w:ascii="仿宋" w:hAnsi="仿宋" w:eastAsia="仿宋" w:cs="仿宋"/>
                <w:sz w:val="21"/>
                <w:szCs w:val="21"/>
                <w:vertAlign w:val="baseline"/>
                <w:lang w:val="en-US" w:eastAsia="zh-CN"/>
              </w:rPr>
              <w:t>2015</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12号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tc>
        <w:tc>
          <w:tcPr>
            <w:tcW w:w="562"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重点领域信息公开</w:t>
            </w: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精准脱贫</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公开上级及本级政府扶贫相关政策、上级中长期规划、阶段性计划；扶贫项目安排、脱贫攻坚专项行动和专项工程信息及落实情况；扶贫资金安排和管理、资产收益等使用情况；贫困人口退出汇总表；扶贫捐赠款物汇总及使用安排、使用效果或结果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w:t>
            </w:r>
            <w:r>
              <w:rPr>
                <w:rFonts w:hint="eastAsia" w:ascii="仿宋" w:hAnsi="仿宋" w:eastAsia="仿宋" w:cs="仿宋"/>
                <w:sz w:val="21"/>
                <w:szCs w:val="21"/>
                <w:vertAlign w:val="baseline"/>
                <w:lang w:val="en-US" w:eastAsia="zh-CN"/>
              </w:rPr>
              <w:t>2018</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8"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教育信息</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发布义务教育均衡发展、义务教育控辍保学的政策文件、工作进展和实施成效等信息。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《中华人民共和国义务教育法》《</w:t>
            </w:r>
            <w:r>
              <w:rPr>
                <w:rFonts w:hint="eastAsia" w:ascii="仿宋" w:hAnsi="仿宋" w:eastAsia="仿宋" w:cs="仿宋"/>
                <w:sz w:val="21"/>
                <w:szCs w:val="21"/>
                <w:vertAlign w:val="baseline"/>
                <w:lang w:val="en-US" w:eastAsia="zh-CN"/>
              </w:rPr>
              <w:t>2018修正</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《国务院办公厅关于进一步加强控辍保学提高义务教育巩固水平的通知》（国办发〔</w:t>
            </w:r>
            <w:r>
              <w:rPr>
                <w:rFonts w:hint="eastAsia" w:ascii="仿宋" w:hAnsi="仿宋" w:eastAsia="仿宋" w:cs="仿宋"/>
                <w:sz w:val="21"/>
                <w:szCs w:val="21"/>
                <w:vertAlign w:val="baseline"/>
                <w:lang w:val="en-US" w:eastAsia="zh-CN"/>
              </w:rPr>
              <w:t>2017</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72号</w:t>
            </w:r>
            <w:r>
              <w:rPr>
                <w:rFonts w:hint="eastAsia" w:ascii="仿宋" w:hAnsi="仿宋" w:eastAsia="仿宋" w:cs="仿宋"/>
                <w:sz w:val="21"/>
                <w:szCs w:val="21"/>
                <w:vertAlign w:val="baseline"/>
                <w:lang w:eastAsia="zh-CN"/>
              </w:rPr>
              <w:t>）；</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《国务院关于深入推进义务教育均衡发展的意见》（国发〔</w:t>
            </w:r>
            <w:r>
              <w:rPr>
                <w:rFonts w:hint="eastAsia" w:ascii="仿宋" w:hAnsi="仿宋" w:eastAsia="仿宋" w:cs="仿宋"/>
                <w:sz w:val="21"/>
                <w:szCs w:val="21"/>
                <w:vertAlign w:val="baseline"/>
                <w:lang w:val="en-US" w:eastAsia="zh-CN"/>
              </w:rPr>
              <w:t>2012</w:t>
            </w:r>
            <w:r>
              <w:rPr>
                <w:rFonts w:hint="eastAsia" w:ascii="仿宋" w:hAnsi="仿宋" w:eastAsia="仿宋" w:cs="仿宋"/>
                <w:sz w:val="21"/>
                <w:szCs w:val="21"/>
                <w:vertAlign w:val="baseline"/>
                <w:lang w:eastAsia="zh-CN"/>
              </w:rPr>
              <w:t>〕</w:t>
            </w:r>
            <w:r>
              <w:rPr>
                <w:rFonts w:hint="eastAsia" w:ascii="仿宋" w:hAnsi="仿宋" w:eastAsia="仿宋" w:cs="仿宋"/>
                <w:sz w:val="21"/>
                <w:szCs w:val="21"/>
                <w:vertAlign w:val="baseline"/>
                <w:lang w:val="en-US" w:eastAsia="zh-CN"/>
              </w:rPr>
              <w:t>48号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按有关规定及时公开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基本医疗卫生</w:t>
            </w:r>
          </w:p>
          <w:p>
            <w:pPr>
              <w:jc w:val="center"/>
              <w:rPr>
                <w:rFonts w:hint="default"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发布突发公共卫生事件、传染病疫情及防控、国家免疫计划、重大疾病、预防控制、健康科普、医疗服务等信息。</w:t>
            </w:r>
          </w:p>
          <w:p>
            <w:pPr>
              <w:jc w:val="left"/>
              <w:rPr>
                <w:rFonts w:hint="eastAsia" w:ascii="仿宋" w:hAnsi="仿宋" w:eastAsia="仿宋" w:cs="仿宋"/>
                <w:sz w:val="21"/>
                <w:szCs w:val="21"/>
                <w:vertAlign w:val="baseline"/>
                <w:lang w:eastAsia="zh-CN"/>
              </w:rPr>
            </w:pP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《国家卫生计生委关于印发国家卫生计生委政府信息公开管理办法的通知》（国卫办发〔2014〕2号）；</w:t>
            </w:r>
          </w:p>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《突发公共卫生事件应急条例》（国务院令第588号）。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社会保障</w:t>
            </w:r>
          </w:p>
          <w:p>
            <w:pPr>
              <w:jc w:val="center"/>
              <w:rPr>
                <w:rFonts w:hint="eastAsia" w:ascii="仿宋" w:hAnsi="仿宋" w:eastAsia="仿宋" w:cs="仿宋"/>
                <w:sz w:val="21"/>
                <w:szCs w:val="21"/>
                <w:vertAlign w:val="baseline"/>
                <w:lang w:val="en-US" w:eastAsia="zh-CN"/>
              </w:rPr>
            </w:pP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城乡低保办理流程、保障标准，按月度或季度发放城乡低保发放花名册；农村五保办理流程、保障标准，按月度或季度发布农村五保花名册；供养孤儿办理流程、保障标准，按月度或季度发布供养孤儿人数统计; 老年人福利补贴申领及申请审批程序，福利补贴发放；残疾人福利补贴申领及申请审批程序，福利补贴发放；儿童福利补贴申领及申请审批程序，福利补贴发放信息。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《国务院办公厅关于推进社会公益事业建设领域政府信息公开的意见》（国办发〔2018〕10号）</w:t>
            </w:r>
          </w:p>
          <w:p>
            <w:pPr>
              <w:jc w:val="left"/>
              <w:rPr>
                <w:rFonts w:hint="eastAsia" w:ascii="仿宋" w:hAnsi="仿宋" w:eastAsia="仿宋" w:cs="仿宋"/>
                <w:sz w:val="21"/>
                <w:szCs w:val="21"/>
                <w:vertAlign w:val="baseline"/>
                <w:lang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促进就业</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就业驿站、技能培训的上级政策及工作方案、工作推进、工作成效等信息。</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及时公开</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农业农村政策</w:t>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发布与本地区有关的农业农村政策</w:t>
            </w:r>
          </w:p>
        </w:tc>
        <w:tc>
          <w:tcPr>
            <w:tcW w:w="1659" w:type="dxa"/>
            <w:vAlign w:val="center"/>
          </w:tcPr>
          <w:p>
            <w:pPr>
              <w:jc w:val="left"/>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农田水利</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工程建设运营</w:t>
            </w:r>
            <w:r>
              <w:rPr>
                <w:rFonts w:hint="default" w:ascii="仿宋" w:hAnsi="仿宋" w:eastAsia="仿宋" w:cs="仿宋"/>
                <w:sz w:val="21"/>
                <w:szCs w:val="21"/>
                <w:vertAlign w:val="baseline"/>
                <w:lang w:val="en-US" w:eastAsia="zh-CN"/>
              </w:rPr>
              <w:br w:type="textWrapping"/>
            </w:r>
          </w:p>
          <w:p>
            <w:pPr>
              <w:jc w:val="center"/>
              <w:rPr>
                <w:rFonts w:hint="eastAsia" w:ascii="仿宋" w:hAnsi="仿宋" w:eastAsia="仿宋" w:cs="仿宋"/>
                <w:sz w:val="21"/>
                <w:szCs w:val="21"/>
                <w:vertAlign w:val="baseline"/>
                <w:lang w:val="en-US"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发布农田水利工程建设运营信息</w:t>
            </w:r>
          </w:p>
          <w:p>
            <w:pPr>
              <w:jc w:val="left"/>
              <w:rPr>
                <w:rFonts w:hint="eastAsia" w:ascii="仿宋" w:hAnsi="仿宋" w:eastAsia="仿宋" w:cs="仿宋"/>
                <w:sz w:val="21"/>
                <w:szCs w:val="21"/>
                <w:vertAlign w:val="baseline"/>
                <w:lang w:val="en-US" w:eastAsia="zh-CN"/>
              </w:rPr>
            </w:pPr>
          </w:p>
        </w:tc>
        <w:tc>
          <w:tcPr>
            <w:tcW w:w="1659" w:type="dxa"/>
            <w:vAlign w:val="center"/>
          </w:tcPr>
          <w:p>
            <w:pPr>
              <w:jc w:val="left"/>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val="en-US" w:eastAsia="zh-CN"/>
              </w:rPr>
              <w:t>《中华人民共和国政府信息公开条例》（国务院令第711</w:t>
            </w:r>
            <w:r>
              <w:rPr>
                <w:rFonts w:hint="eastAsia" w:ascii="仿宋" w:hAnsi="仿宋" w:eastAsia="仿宋" w:cs="仿宋"/>
                <w:sz w:val="21"/>
                <w:szCs w:val="21"/>
                <w:vertAlign w:val="baseline"/>
                <w:lang w:val="en-US" w:eastAsia="zh-CN"/>
              </w:rPr>
              <w:t>号）</w:t>
            </w:r>
          </w:p>
          <w:p>
            <w:pPr>
              <w:jc w:val="left"/>
              <w:rPr>
                <w:rFonts w:hint="eastAsia" w:ascii="仿宋" w:hAnsi="仿宋" w:eastAsia="仿宋" w:cs="仿宋"/>
                <w:sz w:val="21"/>
                <w:szCs w:val="21"/>
                <w:vertAlign w:val="baseline"/>
                <w:lang w:val="en-US" w:eastAsia="zh-CN"/>
              </w:rPr>
            </w:pP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承包经营权流转</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发布本辖区的农村土地承包经营权流转政策，推进情况，具体宗地流转方、流入方、流转用途、流转面积、流转价格、流转金额，实行流转奖励地方的流转奖励结果等信息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农村土地承包经营权流转管理办法》农业部令（第47</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宅基地</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使用情况审核</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发布宅基地使用情况审核统计表包括使用人姓名、用地面积、耕地或非耕地等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土地征收</w:t>
            </w:r>
            <w:r>
              <w:rPr>
                <w:rFonts w:hint="default" w:ascii="仿宋" w:hAnsi="仿宋" w:eastAsia="仿宋" w:cs="仿宋"/>
                <w:sz w:val="21"/>
                <w:szCs w:val="21"/>
                <w:vertAlign w:val="baseline"/>
                <w:lang w:eastAsia="zh-CN"/>
              </w:rPr>
              <w:br w:type="textWrapping"/>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w:t>
            </w:r>
            <w:r>
              <w:rPr>
                <w:rFonts w:hint="eastAsia" w:ascii="仿宋" w:hAnsi="仿宋" w:eastAsia="仿宋" w:cs="仿宋"/>
                <w:sz w:val="21"/>
                <w:szCs w:val="21"/>
                <w:vertAlign w:val="baseline"/>
                <w:lang w:val="en-US" w:eastAsia="zh-CN"/>
              </w:rPr>
              <w:t>标准</w:t>
            </w:r>
            <w:r>
              <w:rPr>
                <w:rFonts w:hint="default" w:ascii="仿宋" w:hAnsi="仿宋" w:eastAsia="仿宋" w:cs="仿宋"/>
                <w:sz w:val="21"/>
                <w:szCs w:val="21"/>
                <w:vertAlign w:val="baseline"/>
                <w:lang w:eastAsia="zh-CN"/>
              </w:rPr>
              <w:t>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房屋征收</w:t>
            </w:r>
          </w:p>
          <w:p>
            <w:pPr>
              <w:jc w:val="center"/>
              <w:rPr>
                <w:rFonts w:hint="default" w:ascii="仿宋" w:hAnsi="仿宋" w:eastAsia="仿宋" w:cs="仿宋"/>
                <w:sz w:val="21"/>
                <w:szCs w:val="21"/>
                <w:vertAlign w:val="baseline"/>
                <w:lang w:eastAsia="zh-CN"/>
              </w:rPr>
            </w:pP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转发征收批复、征收公告，发布补偿安置等信息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《国有土地上房屋征收与补偿条例》（国务院令第590号）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31</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医疗救助办理流程，救助标准，按月度或季度发布医疗救助花名册；临时救助办理流程，救助标准；按月度或季度发布困难群众临时救助花名册；计划生育特殊困难家庭扶助对象认定、本年度救助标准；按月或按季公开分配救助款物、资金的管理使用安排；灾情统计核定、救灾工作情况；救灾资金物资调拨使用；贫困精神病患者免费服药调查花名册、送温暖对象花名册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《社会救助暂行办法》（国务院令第649</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《国务院办公厅关于推进社会公益事业建设领域政府信息公开的意见》（国办发〔2018〕10号）</w:t>
            </w:r>
            <w:r>
              <w:rPr>
                <w:rFonts w:hint="eastAsia" w:ascii="仿宋" w:hAnsi="仿宋" w:eastAsia="仿宋" w:cs="仿宋"/>
                <w:sz w:val="21"/>
                <w:szCs w:val="21"/>
                <w:vertAlign w:val="baseline"/>
                <w:lang w:eastAsia="zh-CN"/>
              </w:rPr>
              <w:t>。</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自该信息形成或者变更之日起20个工作日内。（征地批复、征地公告自信息形成10个工作日内）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生态环境</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河长制、林长制、畜禽养殖、改水改厕、垃圾治理等环境保护领域政策落实、工作推进监督检查等信息</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《中华人民共和国环境保护法》（主席令第9号）；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r>
              <w:rPr>
                <w:rFonts w:hint="eastAsia" w:ascii="仿宋" w:hAnsi="仿宋" w:eastAsia="仿宋" w:cs="仿宋"/>
                <w:sz w:val="21"/>
                <w:szCs w:val="21"/>
                <w:vertAlign w:val="baseline"/>
                <w:lang w:eastAsia="zh-CN"/>
              </w:rPr>
              <w:t>。</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33</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美丽乡村</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发布美丽乡村建设规划、省市县美丽乡村建设示范点；本辖区的美丽乡村建设进展情况等</w:t>
            </w:r>
            <w:r>
              <w:rPr>
                <w:rFonts w:hint="eastAsia" w:ascii="仿宋" w:hAnsi="仿宋" w:eastAsia="仿宋" w:cs="仿宋"/>
                <w:sz w:val="21"/>
                <w:szCs w:val="21"/>
                <w:vertAlign w:val="baseline"/>
                <w:lang w:eastAsia="zh-CN"/>
              </w:rPr>
              <w:t>。</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《中华人民共和国政府信息公开条例》（国务院令第711号）</w:t>
            </w:r>
          </w:p>
        </w:tc>
        <w:tc>
          <w:tcPr>
            <w:tcW w:w="1196"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34</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土地利用</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发布本辖区土地利用总体规划编制情况、土地整治（土地增减挂钩、新增耕地、工矿废弃地复垦等）实施情况。</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4"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35</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农村危房改造</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eastAsia" w:ascii="仿宋" w:hAnsi="仿宋" w:eastAsia="仿宋" w:cs="仿宋"/>
                <w:sz w:val="21"/>
                <w:szCs w:val="21"/>
                <w:vertAlign w:val="baseline"/>
                <w:lang w:val="en-US"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实施方案、文件通知、申请改造条件、申请程序、危房鉴定标准；改造资金安排、数量，年度完成情况等信息。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tc>
        <w:tc>
          <w:tcPr>
            <w:tcW w:w="119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p>
        </w:tc>
        <w:tc>
          <w:tcPr>
            <w:tcW w:w="562" w:type="dxa"/>
            <w:vMerge w:val="continue"/>
            <w:vAlign w:val="center"/>
          </w:tcPr>
          <w:p>
            <w:pPr>
              <w:jc w:val="center"/>
              <w:rPr>
                <w:rFonts w:hint="eastAsia" w:ascii="仿宋" w:hAnsi="仿宋" w:eastAsia="仿宋" w:cs="仿宋"/>
                <w:sz w:val="21"/>
                <w:szCs w:val="21"/>
                <w:vertAlign w:val="baseline"/>
                <w:lang w:eastAsia="zh-CN"/>
              </w:rPr>
            </w:pPr>
          </w:p>
        </w:tc>
        <w:tc>
          <w:tcPr>
            <w:tcW w:w="1079"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公共资源交易</w:t>
            </w:r>
            <w:r>
              <w:rPr>
                <w:rFonts w:hint="default" w:ascii="仿宋" w:hAnsi="仿宋" w:eastAsia="仿宋" w:cs="仿宋"/>
                <w:sz w:val="21"/>
                <w:szCs w:val="21"/>
                <w:vertAlign w:val="baseline"/>
                <w:lang w:eastAsia="zh-CN"/>
              </w:rPr>
              <w:br w:type="textWrapping"/>
            </w:r>
          </w:p>
        </w:tc>
        <w:tc>
          <w:tcPr>
            <w:tcW w:w="917"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中标成交</w:t>
            </w:r>
          </w:p>
          <w:p>
            <w:pPr>
              <w:jc w:val="center"/>
              <w:rPr>
                <w:rFonts w:hint="eastAsia" w:ascii="仿宋" w:hAnsi="仿宋" w:eastAsia="仿宋" w:cs="仿宋"/>
                <w:sz w:val="21"/>
                <w:szCs w:val="21"/>
                <w:vertAlign w:val="baseline"/>
                <w:lang w:val="en-US" w:eastAsia="zh-CN"/>
              </w:rPr>
            </w:pPr>
            <w:r>
              <w:rPr>
                <w:rFonts w:hint="default" w:ascii="仿宋" w:hAnsi="仿宋" w:eastAsia="仿宋" w:cs="仿宋"/>
                <w:sz w:val="21"/>
                <w:szCs w:val="21"/>
                <w:vertAlign w:val="baseline"/>
                <w:lang w:eastAsia="zh-CN"/>
              </w:rPr>
              <w:t>公告</w:t>
            </w:r>
            <w:r>
              <w:rPr>
                <w:rFonts w:hint="default" w:ascii="仿宋" w:hAnsi="仿宋" w:eastAsia="仿宋" w:cs="仿宋"/>
                <w:sz w:val="21"/>
                <w:szCs w:val="21"/>
                <w:vertAlign w:val="baseline"/>
                <w:lang w:eastAsia="zh-CN"/>
              </w:rPr>
              <w:br w:type="textWrapping"/>
            </w:r>
            <w:r>
              <w:rPr>
                <w:rFonts w:hint="eastAsia" w:ascii="仿宋" w:hAnsi="仿宋" w:eastAsia="仿宋" w:cs="仿宋"/>
                <w:sz w:val="21"/>
                <w:szCs w:val="21"/>
                <w:vertAlign w:val="baseline"/>
                <w:lang w:val="en-US" w:eastAsia="zh-CN"/>
              </w:rPr>
              <w:t>31</w:t>
            </w:r>
            <w:r>
              <w:rPr>
                <w:rFonts w:hint="default" w:ascii="仿宋" w:hAnsi="仿宋" w:eastAsia="仿宋" w:cs="仿宋"/>
                <w:sz w:val="21"/>
                <w:szCs w:val="21"/>
                <w:vertAlign w:val="baseline"/>
                <w:lang w:eastAsia="zh-CN"/>
              </w:rPr>
              <w:t>0</w:t>
            </w:r>
            <w:r>
              <w:rPr>
                <w:rFonts w:hint="eastAsia" w:ascii="仿宋" w:hAnsi="仿宋" w:eastAsia="仿宋" w:cs="仿宋"/>
                <w:sz w:val="21"/>
                <w:szCs w:val="21"/>
                <w:vertAlign w:val="baseline"/>
                <w:lang w:val="en-US" w:eastAsia="zh-CN"/>
              </w:rPr>
              <w:t>1</w:t>
            </w:r>
            <w:r>
              <w:rPr>
                <w:rFonts w:hint="default" w:ascii="仿宋" w:hAnsi="仿宋" w:eastAsia="仿宋" w:cs="仿宋"/>
                <w:sz w:val="21"/>
                <w:szCs w:val="21"/>
                <w:vertAlign w:val="baseline"/>
                <w:lang w:eastAsia="zh-CN"/>
              </w:rPr>
              <w:t>00</w:t>
            </w: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发布中标成交公告</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《国务院办公厅关于推进公共资源配置领域政府信息公开的意见》（国办发〔2017〕97号）；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《中华人民共和国政府采购法实施条例》（国务院令第658号）。</w:t>
            </w:r>
          </w:p>
        </w:tc>
        <w:tc>
          <w:tcPr>
            <w:tcW w:w="119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5"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37</w:t>
            </w:r>
          </w:p>
        </w:tc>
        <w:tc>
          <w:tcPr>
            <w:tcW w:w="562"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政策</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解读</w:t>
            </w:r>
            <w:r>
              <w:rPr>
                <w:rFonts w:hint="default" w:ascii="仿宋" w:hAnsi="仿宋" w:eastAsia="仿宋" w:cs="仿宋"/>
                <w:sz w:val="21"/>
                <w:szCs w:val="21"/>
                <w:vertAlign w:val="baseline"/>
                <w:lang w:eastAsia="zh-CN"/>
              </w:rPr>
              <w:br w:type="textWrapping"/>
            </w:r>
          </w:p>
        </w:tc>
        <w:tc>
          <w:tcPr>
            <w:tcW w:w="917" w:type="dxa"/>
            <w:vAlign w:val="center"/>
          </w:tcPr>
          <w:p>
            <w:pPr>
              <w:jc w:val="both"/>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上级政策解读；本级相关政策解读；高质量发展政策文件、政策解读、工作推进及成效等信息。</w:t>
            </w:r>
          </w:p>
        </w:tc>
        <w:tc>
          <w:tcPr>
            <w:tcW w:w="1659"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w:t>
            </w:r>
            <w:r>
              <w:rPr>
                <w:rFonts w:hint="eastAsia" w:ascii="仿宋" w:hAnsi="仿宋" w:eastAsia="仿宋" w:cs="仿宋"/>
                <w:sz w:val="21"/>
                <w:szCs w:val="21"/>
                <w:vertAlign w:val="baseline"/>
                <w:lang w:eastAsia="zh-CN"/>
              </w:rPr>
              <w:t>〕</w:t>
            </w:r>
            <w:r>
              <w:rPr>
                <w:rFonts w:hint="default" w:ascii="仿宋" w:hAnsi="仿宋" w:eastAsia="仿宋" w:cs="仿宋"/>
                <w:sz w:val="21"/>
                <w:szCs w:val="21"/>
                <w:vertAlign w:val="baseline"/>
                <w:lang w:eastAsia="zh-CN"/>
              </w:rPr>
              <w:t>8号）。</w:t>
            </w:r>
          </w:p>
        </w:tc>
        <w:tc>
          <w:tcPr>
            <w:tcW w:w="1196"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按</w:t>
            </w:r>
            <w:r>
              <w:rPr>
                <w:rFonts w:hint="default" w:ascii="仿宋" w:hAnsi="仿宋" w:eastAsia="仿宋" w:cs="仿宋"/>
                <w:sz w:val="21"/>
                <w:szCs w:val="21"/>
                <w:vertAlign w:val="baseline"/>
                <w:lang w:val="en-US" w:eastAsia="zh-CN"/>
              </w:rPr>
              <w:t>规定及时公开</w:t>
            </w:r>
          </w:p>
        </w:tc>
        <w:tc>
          <w:tcPr>
            <w:tcW w:w="1255"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0" w:hRule="atLeast"/>
          <w:jc w:val="center"/>
        </w:trPr>
        <w:tc>
          <w:tcPr>
            <w:tcW w:w="562" w:type="dxa"/>
            <w:vAlign w:val="center"/>
          </w:tcPr>
          <w:p>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w:t>
            </w:r>
          </w:p>
        </w:tc>
        <w:tc>
          <w:tcPr>
            <w:tcW w:w="562" w:type="dxa"/>
            <w:vAlign w:val="center"/>
          </w:tcPr>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监督保障</w:t>
            </w:r>
          </w:p>
        </w:tc>
        <w:tc>
          <w:tcPr>
            <w:tcW w:w="1079" w:type="dxa"/>
            <w:vAlign w:val="center"/>
          </w:tcPr>
          <w:p>
            <w:pPr>
              <w:jc w:val="center"/>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监督</w:t>
            </w:r>
          </w:p>
          <w:p>
            <w:pPr>
              <w:jc w:val="center"/>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保障</w:t>
            </w:r>
            <w:r>
              <w:rPr>
                <w:rFonts w:hint="default" w:ascii="仿宋" w:hAnsi="仿宋" w:eastAsia="仿宋" w:cs="仿宋"/>
                <w:sz w:val="21"/>
                <w:szCs w:val="21"/>
                <w:vertAlign w:val="baseline"/>
                <w:lang w:eastAsia="zh-CN"/>
              </w:rPr>
              <w:br w:type="textWrapping"/>
            </w:r>
            <w:bookmarkStart w:id="0" w:name="_GoBack"/>
            <w:bookmarkEnd w:id="0"/>
          </w:p>
        </w:tc>
        <w:tc>
          <w:tcPr>
            <w:tcW w:w="917" w:type="dxa"/>
            <w:vAlign w:val="center"/>
          </w:tcPr>
          <w:p>
            <w:pPr>
              <w:jc w:val="center"/>
              <w:rPr>
                <w:rFonts w:hint="default" w:ascii="仿宋" w:hAnsi="仿宋" w:eastAsia="仿宋" w:cs="仿宋"/>
                <w:sz w:val="21"/>
                <w:szCs w:val="21"/>
                <w:vertAlign w:val="baseline"/>
                <w:lang w:eastAsia="zh-CN"/>
              </w:rPr>
            </w:pPr>
          </w:p>
        </w:tc>
        <w:tc>
          <w:tcPr>
            <w:tcW w:w="2137" w:type="dxa"/>
            <w:vAlign w:val="center"/>
          </w:tcPr>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发布政务公开制度及政务公开工作开展、工作交流等信息。</w:t>
            </w:r>
          </w:p>
        </w:tc>
        <w:tc>
          <w:tcPr>
            <w:tcW w:w="1659" w:type="dxa"/>
            <w:vAlign w:val="center"/>
          </w:tcPr>
          <w:p>
            <w:pPr>
              <w:jc w:val="left"/>
              <w:rPr>
                <w:rFonts w:hint="eastAsia"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《中华人民共和国政府信息公开条例》（国务院令第711</w:t>
            </w:r>
            <w:r>
              <w:rPr>
                <w:rFonts w:hint="eastAsia" w:ascii="仿宋" w:hAnsi="仿宋" w:eastAsia="仿宋" w:cs="仿宋"/>
                <w:sz w:val="21"/>
                <w:szCs w:val="21"/>
                <w:vertAlign w:val="baseline"/>
                <w:lang w:eastAsia="zh-CN"/>
              </w:rPr>
              <w:t>号）；</w:t>
            </w:r>
          </w:p>
          <w:p>
            <w:pPr>
              <w:jc w:val="left"/>
              <w:rPr>
                <w:rFonts w:hint="default" w:ascii="仿宋" w:hAnsi="仿宋" w:eastAsia="仿宋" w:cs="仿宋"/>
                <w:sz w:val="21"/>
                <w:szCs w:val="21"/>
                <w:vertAlign w:val="baseline"/>
                <w:lang w:eastAsia="zh-CN"/>
              </w:rPr>
            </w:pPr>
            <w:r>
              <w:rPr>
                <w:rFonts w:hint="default" w:ascii="仿宋" w:hAnsi="仿宋" w:eastAsia="仿宋" w:cs="仿宋"/>
                <w:sz w:val="21"/>
                <w:szCs w:val="21"/>
                <w:vertAlign w:val="baseline"/>
                <w:lang w:eastAsia="zh-CN"/>
              </w:rPr>
              <w:t>《中共中央办公厅国务院办公厅印发〈关于全面推进政务公开工作的意见〉的通知》（中办发〔2016〕8号）。</w:t>
            </w:r>
          </w:p>
        </w:tc>
        <w:tc>
          <w:tcPr>
            <w:tcW w:w="1196" w:type="dxa"/>
            <w:vAlign w:val="center"/>
          </w:tcPr>
          <w:p>
            <w:pPr>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自该信息形成或者变更之日起</w:t>
            </w:r>
            <w:r>
              <w:rPr>
                <w:rFonts w:hint="eastAsia" w:ascii="仿宋" w:hAnsi="仿宋" w:eastAsia="仿宋" w:cs="仿宋"/>
                <w:sz w:val="21"/>
                <w:szCs w:val="21"/>
                <w:vertAlign w:val="baseline"/>
                <w:lang w:val="en-US" w:eastAsia="zh-CN"/>
              </w:rPr>
              <w:t>20个工作日内</w:t>
            </w:r>
          </w:p>
        </w:tc>
        <w:tc>
          <w:tcPr>
            <w:tcW w:w="1255"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val="en-US" w:eastAsia="zh-CN"/>
              </w:rPr>
              <w:t>马道头</w:t>
            </w:r>
            <w:r>
              <w:rPr>
                <w:rFonts w:hint="eastAsia" w:ascii="仿宋" w:hAnsi="仿宋" w:eastAsia="仿宋" w:cs="仿宋"/>
                <w:sz w:val="21"/>
                <w:szCs w:val="21"/>
                <w:vertAlign w:val="baseline"/>
                <w:lang w:eastAsia="zh-CN"/>
              </w:rPr>
              <w:t>乡人民政府</w:t>
            </w:r>
          </w:p>
        </w:tc>
        <w:tc>
          <w:tcPr>
            <w:tcW w:w="1186"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乡、村公开栏</w:t>
            </w:r>
          </w:p>
        </w:tc>
      </w:tr>
    </w:tbl>
    <w:p>
      <w:pPr>
        <w:jc w:val="center"/>
        <w:rPr>
          <w:rFonts w:hint="eastAsia"/>
          <w:lang w:eastAsia="zh-CN"/>
        </w:rPr>
      </w:pPr>
    </w:p>
    <w:sectPr>
      <w:headerReference r:id="rId3" w:type="default"/>
      <w:footerReference r:id="rId4" w:type="default"/>
      <w:pgSz w:w="11906" w:h="16838"/>
      <w:pgMar w:top="1134" w:right="680" w:bottom="1134" w:left="6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0173E"/>
    <w:rsid w:val="013D42A4"/>
    <w:rsid w:val="017534AE"/>
    <w:rsid w:val="06CF77DF"/>
    <w:rsid w:val="09BB52E8"/>
    <w:rsid w:val="0E761562"/>
    <w:rsid w:val="18A90666"/>
    <w:rsid w:val="1B331DEA"/>
    <w:rsid w:val="33D25AEC"/>
    <w:rsid w:val="350803D1"/>
    <w:rsid w:val="3BA90BD6"/>
    <w:rsid w:val="42F241AE"/>
    <w:rsid w:val="44C609EC"/>
    <w:rsid w:val="46626BEA"/>
    <w:rsid w:val="4710173E"/>
    <w:rsid w:val="474A0E71"/>
    <w:rsid w:val="4A0538EC"/>
    <w:rsid w:val="52D70BC8"/>
    <w:rsid w:val="55565959"/>
    <w:rsid w:val="5E7D3CAC"/>
    <w:rsid w:val="615F5345"/>
    <w:rsid w:val="65C923EC"/>
    <w:rsid w:val="6F1C5FA1"/>
    <w:rsid w:val="6FBA7FC8"/>
    <w:rsid w:val="71C00D5D"/>
    <w:rsid w:val="73655B2B"/>
    <w:rsid w:val="74406B46"/>
    <w:rsid w:val="76B976E8"/>
    <w:rsid w:val="771D3626"/>
    <w:rsid w:val="7A1D13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qFormat/>
    <w:uiPriority w:val="0"/>
    <w:rPr>
      <w:color w:val="333333"/>
      <w:u w:val="none"/>
    </w:rPr>
  </w:style>
  <w:style w:type="character" w:styleId="9">
    <w:name w:val="Hyperlink"/>
    <w:basedOn w:val="7"/>
    <w:qFormat/>
    <w:uiPriority w:val="0"/>
    <w:rPr>
      <w:color w:val="333333"/>
      <w:u w:val="none"/>
    </w:rPr>
  </w:style>
  <w:style w:type="character" w:customStyle="1" w:styleId="10">
    <w:name w:val="dot"/>
    <w:basedOn w:val="7"/>
    <w:qFormat/>
    <w:uiPriority w:val="0"/>
  </w:style>
  <w:style w:type="character" w:customStyle="1" w:styleId="11">
    <w:name w:val="lc-trangle-icon"/>
    <w:basedOn w:val="7"/>
    <w:qFormat/>
    <w:uiPriority w:val="0"/>
    <w:rPr>
      <w:shd w:val="clear" w:fill="9B1D1F"/>
    </w:rPr>
  </w:style>
  <w:style w:type="character" w:customStyle="1" w:styleId="12">
    <w:name w:val="dot4"/>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2020-09-23T01:12:00Z</dcterms:created>
  <dc:creator>Maybe</dc:creator>
  <cp:lastModifiedBy>昝忠江</cp:lastModifiedBy>
  <cp:lastPrinted>2020-09-23T03:06:00Z</cp:lastPrinted>
  <dcterms:modified xsi:type="dcterms:W3CDTF">2020-12-11T07:17:25Z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