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eastAsia="zh-CN"/>
        </w:rPr>
      </w:pPr>
      <w:r>
        <w:rPr>
          <w:rFonts w:hint="eastAsia" w:ascii="宋体" w:hAnsi="宋体" w:eastAsia="宋体" w:cs="宋体"/>
          <w:sz w:val="44"/>
          <w:szCs w:val="44"/>
          <w:lang w:eastAsia="zh-CN"/>
        </w:rPr>
        <w:t>鹊儿山镇政府政务公开事项标准目录（</w:t>
      </w:r>
      <w:r>
        <w:rPr>
          <w:rFonts w:hint="eastAsia" w:ascii="宋体" w:hAnsi="宋体" w:eastAsia="宋体" w:cs="宋体"/>
          <w:sz w:val="44"/>
          <w:szCs w:val="44"/>
          <w:lang w:val="en-US" w:eastAsia="zh-CN"/>
        </w:rPr>
        <w:t>2020</w:t>
      </w:r>
      <w:r>
        <w:rPr>
          <w:rFonts w:hint="eastAsia" w:ascii="宋体" w:hAnsi="宋体" w:eastAsia="宋体" w:cs="宋体"/>
          <w:sz w:val="44"/>
          <w:szCs w:val="44"/>
          <w:lang w:eastAsia="zh-CN"/>
        </w:rPr>
        <w:t>）</w:t>
      </w:r>
    </w:p>
    <w:p>
      <w:pPr>
        <w:jc w:val="center"/>
        <w:rPr>
          <w:rFonts w:hint="eastAsia"/>
          <w:lang w:eastAsia="zh-CN"/>
        </w:rPr>
      </w:pPr>
    </w:p>
    <w:tbl>
      <w:tblPr>
        <w:tblStyle w:val="7"/>
        <w:tblW w:w="105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562"/>
        <w:gridCol w:w="1079"/>
        <w:gridCol w:w="917"/>
        <w:gridCol w:w="2137"/>
        <w:gridCol w:w="1659"/>
        <w:gridCol w:w="1196"/>
        <w:gridCol w:w="1255"/>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62"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序号</w:t>
            </w:r>
          </w:p>
        </w:tc>
        <w:tc>
          <w:tcPr>
            <w:tcW w:w="562"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过程</w:t>
            </w:r>
          </w:p>
        </w:tc>
        <w:tc>
          <w:tcPr>
            <w:tcW w:w="1996"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公开事项</w:t>
            </w:r>
          </w:p>
        </w:tc>
        <w:tc>
          <w:tcPr>
            <w:tcW w:w="2137"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公开内容</w:t>
            </w:r>
          </w:p>
          <w:p>
            <w:pPr>
              <w:jc w:val="center"/>
              <w:rPr>
                <w:rFonts w:hint="eastAsia"/>
                <w:sz w:val="24"/>
                <w:szCs w:val="24"/>
                <w:vertAlign w:val="baseline"/>
                <w:lang w:eastAsia="zh-CN"/>
              </w:rPr>
            </w:pPr>
            <w:r>
              <w:rPr>
                <w:rFonts w:hint="eastAsia"/>
                <w:sz w:val="24"/>
                <w:szCs w:val="24"/>
                <w:vertAlign w:val="baseline"/>
                <w:lang w:eastAsia="zh-CN"/>
              </w:rPr>
              <w:t>（要素）</w:t>
            </w:r>
          </w:p>
        </w:tc>
        <w:tc>
          <w:tcPr>
            <w:tcW w:w="1659"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公开依据</w:t>
            </w:r>
          </w:p>
        </w:tc>
        <w:tc>
          <w:tcPr>
            <w:tcW w:w="1196"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公开时限</w:t>
            </w:r>
          </w:p>
        </w:tc>
        <w:tc>
          <w:tcPr>
            <w:tcW w:w="1255"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公开主体</w:t>
            </w:r>
          </w:p>
        </w:tc>
        <w:tc>
          <w:tcPr>
            <w:tcW w:w="1186"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公开渠道</w:t>
            </w:r>
          </w:p>
          <w:p>
            <w:pPr>
              <w:jc w:val="center"/>
              <w:rPr>
                <w:rFonts w:hint="eastAsia"/>
                <w:sz w:val="24"/>
                <w:szCs w:val="24"/>
                <w:vertAlign w:val="baseline"/>
                <w:lang w:eastAsia="zh-CN"/>
              </w:rPr>
            </w:pPr>
            <w:r>
              <w:rPr>
                <w:rFonts w:hint="eastAsia"/>
                <w:sz w:val="24"/>
                <w:szCs w:val="24"/>
                <w:vertAlign w:val="baseline"/>
                <w:lang w:eastAsia="zh-CN"/>
              </w:rPr>
              <w:t>和载体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62" w:type="dxa"/>
            <w:vMerge w:val="continue"/>
            <w:vAlign w:val="center"/>
          </w:tcPr>
          <w:p>
            <w:pPr>
              <w:jc w:val="center"/>
              <w:rPr>
                <w:rFonts w:hint="eastAsia"/>
                <w:vertAlign w:val="baseline"/>
                <w:lang w:eastAsia="zh-CN"/>
              </w:rPr>
            </w:pPr>
          </w:p>
        </w:tc>
        <w:tc>
          <w:tcPr>
            <w:tcW w:w="562" w:type="dxa"/>
            <w:vMerge w:val="continue"/>
            <w:vAlign w:val="center"/>
          </w:tcPr>
          <w:p>
            <w:pPr>
              <w:jc w:val="center"/>
              <w:rPr>
                <w:rFonts w:hint="eastAsia"/>
                <w:vertAlign w:val="baseline"/>
                <w:lang w:eastAsia="zh-CN"/>
              </w:rPr>
            </w:pPr>
          </w:p>
        </w:tc>
        <w:tc>
          <w:tcPr>
            <w:tcW w:w="1079" w:type="dxa"/>
            <w:vAlign w:val="center"/>
          </w:tcPr>
          <w:p>
            <w:pPr>
              <w:jc w:val="center"/>
              <w:rPr>
                <w:rFonts w:hint="eastAsia"/>
                <w:sz w:val="24"/>
                <w:szCs w:val="24"/>
                <w:vertAlign w:val="baseline"/>
                <w:lang w:eastAsia="zh-CN"/>
              </w:rPr>
            </w:pPr>
            <w:r>
              <w:rPr>
                <w:rFonts w:hint="eastAsia"/>
                <w:sz w:val="24"/>
                <w:szCs w:val="24"/>
                <w:vertAlign w:val="baseline"/>
                <w:lang w:eastAsia="zh-CN"/>
              </w:rPr>
              <w:t>一级</w:t>
            </w:r>
          </w:p>
          <w:p>
            <w:pPr>
              <w:jc w:val="center"/>
              <w:rPr>
                <w:rFonts w:hint="eastAsia"/>
                <w:sz w:val="24"/>
                <w:szCs w:val="24"/>
                <w:vertAlign w:val="baseline"/>
                <w:lang w:eastAsia="zh-CN"/>
              </w:rPr>
            </w:pPr>
            <w:r>
              <w:rPr>
                <w:rFonts w:hint="eastAsia"/>
                <w:sz w:val="24"/>
                <w:szCs w:val="24"/>
                <w:vertAlign w:val="baseline"/>
                <w:lang w:eastAsia="zh-CN"/>
              </w:rPr>
              <w:t>目录</w:t>
            </w:r>
          </w:p>
        </w:tc>
        <w:tc>
          <w:tcPr>
            <w:tcW w:w="917" w:type="dxa"/>
            <w:vAlign w:val="center"/>
          </w:tcPr>
          <w:p>
            <w:pPr>
              <w:jc w:val="center"/>
              <w:rPr>
                <w:rFonts w:hint="eastAsia"/>
                <w:sz w:val="24"/>
                <w:szCs w:val="24"/>
                <w:vertAlign w:val="baseline"/>
                <w:lang w:eastAsia="zh-CN"/>
              </w:rPr>
            </w:pPr>
            <w:r>
              <w:rPr>
                <w:rFonts w:hint="eastAsia"/>
                <w:sz w:val="24"/>
                <w:szCs w:val="24"/>
                <w:vertAlign w:val="baseline"/>
                <w:lang w:eastAsia="zh-CN"/>
              </w:rPr>
              <w:t>二级</w:t>
            </w:r>
          </w:p>
          <w:p>
            <w:pPr>
              <w:jc w:val="center"/>
              <w:rPr>
                <w:rFonts w:hint="eastAsia"/>
                <w:sz w:val="24"/>
                <w:szCs w:val="24"/>
                <w:vertAlign w:val="baseline"/>
                <w:lang w:eastAsia="zh-CN"/>
              </w:rPr>
            </w:pPr>
            <w:r>
              <w:rPr>
                <w:rFonts w:hint="eastAsia"/>
                <w:sz w:val="24"/>
                <w:szCs w:val="24"/>
                <w:vertAlign w:val="baseline"/>
                <w:lang w:eastAsia="zh-CN"/>
              </w:rPr>
              <w:t>目录</w:t>
            </w:r>
          </w:p>
        </w:tc>
        <w:tc>
          <w:tcPr>
            <w:tcW w:w="2137" w:type="dxa"/>
            <w:vMerge w:val="continue"/>
            <w:vAlign w:val="center"/>
          </w:tcPr>
          <w:p>
            <w:pPr>
              <w:jc w:val="center"/>
              <w:rPr>
                <w:rFonts w:hint="eastAsia"/>
                <w:vertAlign w:val="baseline"/>
                <w:lang w:eastAsia="zh-CN"/>
              </w:rPr>
            </w:pPr>
          </w:p>
        </w:tc>
        <w:tc>
          <w:tcPr>
            <w:tcW w:w="1659" w:type="dxa"/>
            <w:vMerge w:val="continue"/>
            <w:vAlign w:val="center"/>
          </w:tcPr>
          <w:p>
            <w:pPr>
              <w:jc w:val="center"/>
              <w:rPr>
                <w:rFonts w:hint="eastAsia"/>
                <w:vertAlign w:val="baseline"/>
                <w:lang w:eastAsia="zh-CN"/>
              </w:rPr>
            </w:pPr>
          </w:p>
        </w:tc>
        <w:tc>
          <w:tcPr>
            <w:tcW w:w="1196" w:type="dxa"/>
            <w:vMerge w:val="continue"/>
            <w:vAlign w:val="center"/>
          </w:tcPr>
          <w:p>
            <w:pPr>
              <w:jc w:val="center"/>
              <w:rPr>
                <w:rFonts w:hint="eastAsia"/>
                <w:vertAlign w:val="baseline"/>
                <w:lang w:eastAsia="zh-CN"/>
              </w:rPr>
            </w:pPr>
          </w:p>
        </w:tc>
        <w:tc>
          <w:tcPr>
            <w:tcW w:w="1255" w:type="dxa"/>
            <w:vMerge w:val="continue"/>
            <w:vAlign w:val="center"/>
          </w:tcPr>
          <w:p>
            <w:pPr>
              <w:jc w:val="center"/>
              <w:rPr>
                <w:rFonts w:hint="eastAsia"/>
                <w:vertAlign w:val="baseline"/>
                <w:lang w:eastAsia="zh-CN"/>
              </w:rPr>
            </w:pPr>
          </w:p>
        </w:tc>
        <w:tc>
          <w:tcPr>
            <w:tcW w:w="1186" w:type="dxa"/>
            <w:vMerge w:val="continue"/>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5" w:hRule="atLeast"/>
          <w:jc w:val="center"/>
        </w:trPr>
        <w:tc>
          <w:tcPr>
            <w:tcW w:w="562"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决策</w:t>
            </w: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本级政府文件</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本级政府制定的文件</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期限为文件有效期</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重大决策预公开</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公开涉及群众切身利益需要社会广泛知晓的重要改革方案、重大政策措施和重点工程项目等，公开意见收集和采纳情况。</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《重大行政决策程序暂行条例》（国务院令第</w:t>
            </w:r>
            <w:r>
              <w:rPr>
                <w:rFonts w:hint="eastAsia" w:ascii="仿宋" w:hAnsi="仿宋" w:eastAsia="仿宋" w:cs="仿宋"/>
                <w:sz w:val="21"/>
                <w:szCs w:val="21"/>
                <w:vertAlign w:val="baseline"/>
                <w:lang w:val="en-US" w:eastAsia="zh-CN"/>
              </w:rPr>
              <w:t>713号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政府工作报告</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发布经本级人代会审议通过的年度政府工作报告</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执行和结果</w:t>
            </w: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年度重点工作任务分解、执行及落实情况</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政府工作报告分解；重大决策、重要政策、政府工作报告、重点改革任务、重大工程项目、规划计划的执行措施、实施步骤、责任分工、监督方式及年度重点工作的阶段性进展或按月（季度）取得的成效、落实情况通报和后续举措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&lt;关于全面推进政务公开工作的意见&gt;的通知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8号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经济和社会发展统计信息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年度统计信息及年度统计数据分析；月度统计数据；月度季度统计数据分析等。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《中华人民共和国统计法实施细则》（国务院令第</w:t>
            </w:r>
            <w:r>
              <w:rPr>
                <w:rFonts w:hint="eastAsia" w:ascii="仿宋" w:hAnsi="仿宋" w:eastAsia="仿宋" w:cs="仿宋"/>
                <w:sz w:val="21"/>
                <w:szCs w:val="21"/>
                <w:vertAlign w:val="baseline"/>
                <w:lang w:val="en-US" w:eastAsia="zh-CN"/>
              </w:rPr>
              <w:t>453号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建议提案办理</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人大代表建议和政协委员提案办理工作制度、办理情况年度报告、办理答复。</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《国务院办公厅关于做好全国人大代表建议和全国政协委员提案办理结果公开工作的通知》（国办发〔</w:t>
            </w:r>
            <w:r>
              <w:rPr>
                <w:rFonts w:hint="eastAsia" w:ascii="仿宋" w:hAnsi="仿宋" w:eastAsia="仿宋" w:cs="仿宋"/>
                <w:sz w:val="21"/>
                <w:szCs w:val="21"/>
                <w:vertAlign w:val="baseline"/>
                <w:lang w:val="en-US" w:eastAsia="zh-CN"/>
              </w:rPr>
              <w:t>2014</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46号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管理和服务</w:t>
            </w: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政府领导</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领导分工</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1"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机构设置</w:t>
            </w:r>
          </w:p>
        </w:tc>
        <w:tc>
          <w:tcPr>
            <w:tcW w:w="917"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乡镇（街道）简介</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080100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乡镇（街道）简介及特色</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内设机构</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080200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名称、职能、办公地址、负责人。</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1"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基层站所</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080300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名称、职能、办公地址、负责人、联系方式等。</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行政村（社区）</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080400</w:t>
            </w:r>
          </w:p>
        </w:tc>
        <w:tc>
          <w:tcPr>
            <w:tcW w:w="2137"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名称、职能、办公地址、负责人、联系方式等。</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人事信息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人事任免、人员招考录用等信息。</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财政资金</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年度财政预决算</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100100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上年度财政预算执行情况和本年度财政预算草案报告；本年度预算报表及说明，预算调整的决定或批复；上年度决算报表及说明信息。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《中华人民共和国预算法》；</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&lt;关于进一步推进预算公开工作的意见&gt;的通知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13号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《关于印发</w:t>
            </w:r>
            <w:r>
              <w:rPr>
                <w:rFonts w:hint="eastAsia" w:ascii="仿宋" w:hAnsi="仿宋" w:eastAsia="仿宋" w:cs="仿宋"/>
                <w:sz w:val="21"/>
                <w:szCs w:val="21"/>
                <w:vertAlign w:val="baseline"/>
                <w:lang w:val="en-US" w:eastAsia="zh-CN"/>
              </w:rPr>
              <w:t>&lt;地方预决算公开操作规程&gt;的通知</w:t>
            </w:r>
            <w:r>
              <w:rPr>
                <w:rFonts w:hint="eastAsia" w:ascii="仿宋" w:hAnsi="仿宋" w:eastAsia="仿宋" w:cs="仿宋"/>
                <w:sz w:val="21"/>
                <w:szCs w:val="21"/>
                <w:vertAlign w:val="baseline"/>
                <w:lang w:eastAsia="zh-CN"/>
              </w:rPr>
              <w:t>》（财预〔</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143号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“三公”经费情况</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100200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本年度“三公”经费预算安排；上年度“三公”经费决算报告包括细化说明因公出国（境）团组数及人数；国内公务接待的批次、人次；“三公”经费增减变化原因等信息。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《中华人民共和国预算法》；</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&lt;关于进一步推进预算公开工作的意见&gt;的通知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13号</w:t>
            </w:r>
            <w:r>
              <w:rPr>
                <w:rFonts w:hint="eastAsia" w:ascii="仿宋" w:hAnsi="仿宋" w:eastAsia="仿宋" w:cs="仿宋"/>
                <w:sz w:val="21"/>
                <w:szCs w:val="21"/>
                <w:vertAlign w:val="baseline"/>
                <w:lang w:eastAsia="zh-CN"/>
              </w:rPr>
              <w:t>）；</w:t>
            </w:r>
          </w:p>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《关于印发</w:t>
            </w:r>
            <w:r>
              <w:rPr>
                <w:rFonts w:hint="eastAsia" w:ascii="仿宋" w:hAnsi="仿宋" w:eastAsia="仿宋" w:cs="仿宋"/>
                <w:sz w:val="21"/>
                <w:szCs w:val="21"/>
                <w:vertAlign w:val="baseline"/>
                <w:lang w:val="en-US" w:eastAsia="zh-CN"/>
              </w:rPr>
              <w:t>&lt;地方预决算公开操作规程&gt;的通知</w:t>
            </w:r>
            <w:r>
              <w:rPr>
                <w:rFonts w:hint="eastAsia" w:ascii="仿宋" w:hAnsi="仿宋" w:eastAsia="仿宋" w:cs="仿宋"/>
                <w:sz w:val="21"/>
                <w:szCs w:val="21"/>
                <w:vertAlign w:val="baseline"/>
                <w:lang w:eastAsia="zh-CN"/>
              </w:rPr>
              <w:t>》（财预〔</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143号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应急管理</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应急预案</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110100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总体预案、事故灾害类预案、社会安全事件类预案、自然灾害类预案和公共卫生事件类预案等。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《国务院办公厅关于印发突发事件应急预案管理办法的通知》（国办发〔</w:t>
            </w:r>
            <w:r>
              <w:rPr>
                <w:rFonts w:hint="eastAsia" w:ascii="仿宋" w:hAnsi="仿宋" w:eastAsia="仿宋" w:cs="仿宋"/>
                <w:sz w:val="21"/>
                <w:szCs w:val="21"/>
                <w:vertAlign w:val="baseline"/>
                <w:lang w:val="en-US" w:eastAsia="zh-CN"/>
              </w:rPr>
              <w:t>2013</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101号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预警信息及应对情况</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110200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事故灾害类、社会安全事件类、自然灾害类预案和公共卫生事件类预警信息及采取的应急处置措施与应对结果等。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《中华人民共和国突发事件应对法》（主席令第</w:t>
            </w:r>
            <w:r>
              <w:rPr>
                <w:rFonts w:hint="eastAsia" w:ascii="仿宋" w:hAnsi="仿宋" w:eastAsia="仿宋" w:cs="仿宋"/>
                <w:sz w:val="21"/>
                <w:szCs w:val="21"/>
                <w:vertAlign w:val="baseline"/>
                <w:lang w:val="en-US" w:eastAsia="zh-CN"/>
              </w:rPr>
              <w:t>69号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权责清单</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公开乡镇级政府权力清单和责任清单，乡镇级政府廉政风险点情况表，乡镇级政府权力运行流程图。</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&lt;官员推行地方各级政府工作部门权力清单制度的指导意见&gt;的通知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21号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《国务院办公厅关于做好证明事项清理工作的通知》（国办发〔</w:t>
            </w:r>
            <w:r>
              <w:rPr>
                <w:rFonts w:hint="eastAsia" w:ascii="仿宋" w:hAnsi="仿宋" w:eastAsia="仿宋" w:cs="仿宋"/>
                <w:sz w:val="21"/>
                <w:szCs w:val="21"/>
                <w:vertAlign w:val="baseline"/>
                <w:lang w:val="en-US" w:eastAsia="zh-CN"/>
              </w:rPr>
              <w:t>2018</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47号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按照法定时间公开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公开服务清单</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公开公共服务目录清单，包括提供所有服务事项的名称、内容、办理主体、行使依据、期限、监督渠道等信息。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《国务院办公厅关于简化优化公共服务流程方便基层群众办事创业的通知》（国办发〔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86号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人口与计生</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人口计生的相关政策，奖励与帮扶，工作推进。</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《国家卫生计生委办公厅关于印发医院、计划生育技术服务机构等</w:t>
            </w:r>
            <w:r>
              <w:rPr>
                <w:rFonts w:hint="eastAsia" w:ascii="仿宋" w:hAnsi="仿宋" w:eastAsia="仿宋" w:cs="仿宋"/>
                <w:sz w:val="21"/>
                <w:szCs w:val="21"/>
                <w:vertAlign w:val="baseline"/>
                <w:lang w:val="en-US" w:eastAsia="zh-CN"/>
              </w:rPr>
              <w:t>9类医疗卫生机构信息公开目录的通知</w:t>
            </w:r>
            <w:r>
              <w:rPr>
                <w:rFonts w:hint="eastAsia" w:ascii="仿宋" w:hAnsi="仿宋" w:eastAsia="仿宋" w:cs="仿宋"/>
                <w:sz w:val="21"/>
                <w:szCs w:val="21"/>
                <w:vertAlign w:val="baseline"/>
                <w:lang w:eastAsia="zh-CN"/>
              </w:rPr>
              <w:t>》（国卫办政务发〔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12号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重点领域信息公开</w:t>
            </w: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精准脱贫</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上级及本级政府扶贫相关政策、上级中长期规划、阶段性计划；扶贫项目安排、脱贫攻坚专项行动和专项工程信息及落实情况；扶贫资金安排和管理、资产收益等使用情况；贫困人口退出汇总表；扶贫捐赠款物汇总及使用安排、使用效果或结果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《国务院办公厅关于推进社会公益事业建设领域政府信息公开的意见》（国办发〔</w:t>
            </w:r>
            <w:r>
              <w:rPr>
                <w:rFonts w:hint="eastAsia" w:ascii="仿宋" w:hAnsi="仿宋" w:eastAsia="仿宋" w:cs="仿宋"/>
                <w:sz w:val="21"/>
                <w:szCs w:val="21"/>
                <w:vertAlign w:val="baseline"/>
                <w:lang w:val="en-US" w:eastAsia="zh-CN"/>
              </w:rPr>
              <w:t>2018</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10号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教育信息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发布义务教育均衡发展、义务教育控辍保学的政策文件、工作进展和实施成效等信息。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《中华人民共和国义务教育法》《</w:t>
            </w:r>
            <w:r>
              <w:rPr>
                <w:rFonts w:hint="eastAsia" w:ascii="仿宋" w:hAnsi="仿宋" w:eastAsia="仿宋" w:cs="仿宋"/>
                <w:sz w:val="21"/>
                <w:szCs w:val="21"/>
                <w:vertAlign w:val="baseline"/>
                <w:lang w:val="en-US" w:eastAsia="zh-CN"/>
              </w:rPr>
              <w:t>2018修正</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《国务院办公厅关于进一步加强控辍保学提高义务教育巩固水平的通知》（国办发〔</w:t>
            </w:r>
            <w:r>
              <w:rPr>
                <w:rFonts w:hint="eastAsia" w:ascii="仿宋" w:hAnsi="仿宋" w:eastAsia="仿宋" w:cs="仿宋"/>
                <w:sz w:val="21"/>
                <w:szCs w:val="21"/>
                <w:vertAlign w:val="baseline"/>
                <w:lang w:val="en-US" w:eastAsia="zh-CN"/>
              </w:rPr>
              <w:t>2017</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72号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《国务院关于深入推进义务教育均衡发展的意见》（国发〔</w:t>
            </w:r>
            <w:r>
              <w:rPr>
                <w:rFonts w:hint="eastAsia" w:ascii="仿宋" w:hAnsi="仿宋" w:eastAsia="仿宋" w:cs="仿宋"/>
                <w:sz w:val="21"/>
                <w:szCs w:val="21"/>
                <w:vertAlign w:val="baseline"/>
                <w:lang w:val="en-US" w:eastAsia="zh-CN"/>
              </w:rPr>
              <w:t>2012</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48号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按有关规定及时公开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基本医疗卫生</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发布突发公共卫生事件、传染病疫情及防控、国家免疫计划、重大疾病、预防控制、健康科普、医疗服务等信息。</w:t>
            </w:r>
          </w:p>
          <w:p>
            <w:pPr>
              <w:jc w:val="left"/>
              <w:rPr>
                <w:rFonts w:hint="eastAsia" w:ascii="仿宋" w:hAnsi="仿宋" w:eastAsia="仿宋" w:cs="仿宋"/>
                <w:sz w:val="21"/>
                <w:szCs w:val="21"/>
                <w:vertAlign w:val="baseline"/>
                <w:lang w:eastAsia="zh-CN"/>
              </w:rPr>
            </w:pP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《国家卫生计生委关于印发国家卫生计生委政府信息公开管理办法的通知》（国卫办发〔2014〕2号）；</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《突发公共卫生事件应急条例》（国务院令第588号）。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4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社会保障</w:t>
            </w:r>
          </w:p>
          <w:p>
            <w:pPr>
              <w:jc w:val="center"/>
              <w:rPr>
                <w:rFonts w:hint="eastAsia" w:ascii="仿宋" w:hAnsi="仿宋" w:eastAsia="仿宋" w:cs="仿宋"/>
                <w:sz w:val="21"/>
                <w:szCs w:val="21"/>
                <w:vertAlign w:val="baseline"/>
                <w:lang w:val="en-US" w:eastAsia="zh-CN"/>
              </w:rPr>
            </w:pP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城乡低保办理流程、保障标准，按月度或季度发放城乡低保发放花名册；农村五保办理流程、保障标准，按月度或季度发布农村五保花名册；供养孤儿办理流程、保障标准，按月度或季度发布供养孤儿人数统计; 老年人福利补贴申领及申请审批程序，福利补贴发放；残疾人福利补贴申领及申请审批程序，福利补贴发放；儿童福利补贴申领及申请审批程序，福利补贴发放信息。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《国务院办公厅关于推进社会公益事业建设领域政府信息公开的意见》（国办发〔2018〕10号）</w:t>
            </w:r>
          </w:p>
          <w:p>
            <w:pPr>
              <w:jc w:val="left"/>
              <w:rPr>
                <w:rFonts w:hint="eastAsia" w:ascii="仿宋" w:hAnsi="仿宋" w:eastAsia="仿宋" w:cs="仿宋"/>
                <w:sz w:val="21"/>
                <w:szCs w:val="21"/>
                <w:vertAlign w:val="baseline"/>
                <w:lang w:eastAsia="zh-CN"/>
              </w:rPr>
            </w:pP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促进就业</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就业驿站、技能培训的上级政策及工作方案、工作推进、工作成效等信息。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9"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农业农村政策</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发布与本地区有关的农业农村政策</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农田水利</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工程建设运营</w:t>
            </w:r>
            <w:r>
              <w:rPr>
                <w:rFonts w:hint="default" w:ascii="仿宋" w:hAnsi="仿宋" w:eastAsia="仿宋" w:cs="仿宋"/>
                <w:sz w:val="21"/>
                <w:szCs w:val="21"/>
                <w:vertAlign w:val="baseline"/>
                <w:lang w:val="en-US" w:eastAsia="zh-CN"/>
              </w:rPr>
              <w:br w:type="textWrapping"/>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发布农田水利工程建设运营信息</w:t>
            </w:r>
          </w:p>
          <w:p>
            <w:pPr>
              <w:jc w:val="left"/>
              <w:rPr>
                <w:rFonts w:hint="eastAsia" w:ascii="仿宋" w:hAnsi="仿宋" w:eastAsia="仿宋" w:cs="仿宋"/>
                <w:sz w:val="21"/>
                <w:szCs w:val="21"/>
                <w:vertAlign w:val="baseline"/>
                <w:lang w:val="en-US" w:eastAsia="zh-CN"/>
              </w:rPr>
            </w:pPr>
          </w:p>
        </w:tc>
        <w:tc>
          <w:tcPr>
            <w:tcW w:w="1659" w:type="dxa"/>
            <w:vAlign w:val="center"/>
          </w:tcPr>
          <w:p>
            <w:pPr>
              <w:jc w:val="left"/>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《中华人民共和国政府信息公开条例》（国务院令第711</w:t>
            </w:r>
            <w:r>
              <w:rPr>
                <w:rFonts w:hint="eastAsia" w:ascii="仿宋" w:hAnsi="仿宋" w:eastAsia="仿宋" w:cs="仿宋"/>
                <w:sz w:val="21"/>
                <w:szCs w:val="21"/>
                <w:vertAlign w:val="baseline"/>
                <w:lang w:val="en-US" w:eastAsia="zh-CN"/>
              </w:rPr>
              <w:t>号）</w:t>
            </w:r>
          </w:p>
          <w:p>
            <w:pPr>
              <w:jc w:val="left"/>
              <w:rPr>
                <w:rFonts w:hint="eastAsia" w:ascii="仿宋" w:hAnsi="仿宋" w:eastAsia="仿宋" w:cs="仿宋"/>
                <w:sz w:val="21"/>
                <w:szCs w:val="21"/>
                <w:vertAlign w:val="baseline"/>
                <w:lang w:val="en-US" w:eastAsia="zh-CN"/>
              </w:rPr>
            </w:pP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农村土地</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承包经营权流转</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发布本辖区的农村土地承包经营权流转政策，推进情况，具体宗地流转方、流入方、流转用途、流转面积、流转价格、流转金额，实行流转奖励地方的流转奖励结果等信息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农村土地承包经营权流转管理办法》农业部令（第47</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宅基地</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使用情况审核</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发布宅基地使用情况审核统计表包括使用人姓名、用地面积、耕地或非耕地等</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9"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土地征收</w:t>
            </w:r>
            <w:r>
              <w:rPr>
                <w:rFonts w:hint="default" w:ascii="仿宋" w:hAnsi="仿宋" w:eastAsia="仿宋" w:cs="仿宋"/>
                <w:sz w:val="21"/>
                <w:szCs w:val="21"/>
                <w:vertAlign w:val="baseline"/>
                <w:lang w:eastAsia="zh-CN"/>
              </w:rPr>
              <w:br w:type="textWrapping"/>
            </w:r>
          </w:p>
          <w:p>
            <w:pPr>
              <w:jc w:val="center"/>
              <w:rPr>
                <w:rFonts w:hint="default" w:ascii="仿宋" w:hAnsi="仿宋" w:eastAsia="仿宋" w:cs="仿宋"/>
                <w:sz w:val="21"/>
                <w:szCs w:val="21"/>
                <w:vertAlign w:val="baseline"/>
                <w:lang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转发征收批复、征收公告，发布补偿安置等信息。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7"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房屋征收</w:t>
            </w:r>
          </w:p>
          <w:p>
            <w:pPr>
              <w:jc w:val="center"/>
              <w:rPr>
                <w:rFonts w:hint="default" w:ascii="仿宋" w:hAnsi="仿宋" w:eastAsia="仿宋" w:cs="仿宋"/>
                <w:sz w:val="21"/>
                <w:szCs w:val="21"/>
                <w:vertAlign w:val="baseline"/>
                <w:lang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转发征收批复、征收公告，发布补偿安置等信息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《国有土地上房屋征收与补偿条例》（国务院令第590号）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社会救助</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医疗救助办理流程，救助标准，按月度或季度发布医疗救助花名册；临时救助办理流程，救助标准；按月度或季度发布困难群众临时救助花名册；计划生育特殊困难家庭扶助对象认定、本年度救助标准；按月度或按季度公开分配救助款物、资金的管理使用安排；灾情统计核定、救灾工作情况；救灾资金物资调拨使用；贫困精神病患者免费服药调查花名册、送温暖对象花名册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《社会救助暂行办法》（国务院令第649</w:t>
            </w:r>
            <w:r>
              <w:rPr>
                <w:rFonts w:hint="eastAsia" w:ascii="仿宋" w:hAnsi="仿宋" w:eastAsia="仿宋" w:cs="仿宋"/>
                <w:sz w:val="21"/>
                <w:szCs w:val="21"/>
                <w:vertAlign w:val="baseline"/>
                <w:lang w:eastAsia="zh-CN"/>
              </w:rPr>
              <w:t>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《国务院办公厅关于推进社会公益事业建设领域政府信息公开的意见》（国办发〔2018〕10号）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自该信息形成或者变更之日起20个工作日内。（征地批复、征地公告自信息形成10个工作日内）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生态环境</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河长制、林长制、畜禽养殖、改水改厕、垃圾治理等环境保护领域政策落实、工作推进监督检查等信息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《中华人民共和国环境保护法》（主席令第9号）；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r>
              <w:rPr>
                <w:rFonts w:hint="eastAsia" w:ascii="仿宋" w:hAnsi="仿宋" w:eastAsia="仿宋" w:cs="仿宋"/>
                <w:sz w:val="21"/>
                <w:szCs w:val="21"/>
                <w:vertAlign w:val="baseline"/>
                <w:lang w:eastAsia="zh-CN"/>
              </w:rPr>
              <w:t>。</w:t>
            </w:r>
          </w:p>
        </w:tc>
        <w:tc>
          <w:tcPr>
            <w:tcW w:w="1196" w:type="dxa"/>
            <w:vAlign w:val="center"/>
          </w:tcPr>
          <w:p>
            <w:pPr>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美丽乡村</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发布美丽乡村建设规划、省市县美丽乡村建设示范点；本辖区的美丽乡村建设进展情况等</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土地利用</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发布本辖区土地利用总体规划编制情况、土地整治（土地增减挂钩、新增耕地、工矿废弃地复垦等）实施情况。</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农村危房改造</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实施方案、文件通知、申请改造条件、申请程序、危房鉴定标准；改造资金安排、数量，年度完成情况等信息。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公共资源交易</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中标成交</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公告</w:t>
            </w:r>
            <w:r>
              <w:rPr>
                <w:rFonts w:hint="default" w:ascii="仿宋" w:hAnsi="仿宋" w:eastAsia="仿宋" w:cs="仿宋"/>
                <w:sz w:val="21"/>
                <w:szCs w:val="21"/>
                <w:vertAlign w:val="baseline"/>
                <w:lang w:eastAsia="zh-CN"/>
              </w:rPr>
              <w:br w:type="textWrapping"/>
            </w: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发布中标成交公告</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《国务院办公厅关于推进公共资源配置领域政府信息公开的意见》（国办发〔2017〕97号）；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《中华人民共和国政府采购法实施条例》（国务院令第658号）。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tc>
        <w:tc>
          <w:tcPr>
            <w:tcW w:w="562"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政策</w:t>
            </w:r>
          </w:p>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解读</w:t>
            </w: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政策</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解读</w:t>
            </w:r>
            <w:r>
              <w:rPr>
                <w:rFonts w:hint="default" w:ascii="仿宋" w:hAnsi="仿宋" w:eastAsia="仿宋" w:cs="仿宋"/>
                <w:sz w:val="21"/>
                <w:szCs w:val="21"/>
                <w:vertAlign w:val="baseline"/>
                <w:lang w:eastAsia="zh-CN"/>
              </w:rPr>
              <w:br w:type="textWrapping"/>
            </w:r>
          </w:p>
        </w:tc>
        <w:tc>
          <w:tcPr>
            <w:tcW w:w="917" w:type="dxa"/>
            <w:vAlign w:val="center"/>
          </w:tcPr>
          <w:p>
            <w:pPr>
              <w:jc w:val="both"/>
              <w:rPr>
                <w:rFonts w:hint="default"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上级政策解读；本级相关政策解读；高质量发展政策文件、政策解读、工作推进及成效等信息。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《中共中央办公厅国务院办公厅印发〈关于全面推进政务公开工作的意见〉的通知》（中办发〔2016</w:t>
            </w:r>
            <w:r>
              <w:rPr>
                <w:rFonts w:hint="eastAsia" w:ascii="仿宋" w:hAnsi="仿宋" w:eastAsia="仿宋" w:cs="仿宋"/>
                <w:sz w:val="21"/>
                <w:szCs w:val="21"/>
                <w:vertAlign w:val="baseline"/>
                <w:lang w:eastAsia="zh-CN"/>
              </w:rPr>
              <w:t>〕</w:t>
            </w:r>
            <w:r>
              <w:rPr>
                <w:rFonts w:hint="default" w:ascii="仿宋" w:hAnsi="仿宋" w:eastAsia="仿宋" w:cs="仿宋"/>
                <w:sz w:val="21"/>
                <w:szCs w:val="21"/>
                <w:vertAlign w:val="baseline"/>
                <w:lang w:eastAsia="zh-CN"/>
              </w:rPr>
              <w:t>8号）。</w:t>
            </w:r>
          </w:p>
        </w:tc>
        <w:tc>
          <w:tcPr>
            <w:tcW w:w="1196"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按</w:t>
            </w:r>
            <w:r>
              <w:rPr>
                <w:rFonts w:hint="default" w:ascii="仿宋" w:hAnsi="仿宋" w:eastAsia="仿宋" w:cs="仿宋"/>
                <w:sz w:val="21"/>
                <w:szCs w:val="21"/>
                <w:vertAlign w:val="baseline"/>
                <w:lang w:val="en-US" w:eastAsia="zh-CN"/>
              </w:rPr>
              <w:t>规定及时公开</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tc>
        <w:tc>
          <w:tcPr>
            <w:tcW w:w="562"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监督保障</w:t>
            </w: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监督</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保障</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default"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发布政务公开制度及政务公开工作开展、工作交流等信息。</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《中共中央办公厅国务院办公厅印发〈关于全面推进政务公开工作的意见〉的通知》（中办发〔2016〕8号）。</w:t>
            </w:r>
          </w:p>
        </w:tc>
        <w:tc>
          <w:tcPr>
            <w:tcW w:w="1196" w:type="dxa"/>
            <w:vAlign w:val="center"/>
          </w:tcPr>
          <w:p>
            <w:pPr>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鹊儿山镇人民政府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镇、村公开栏</w:t>
            </w:r>
            <w:bookmarkStart w:id="0" w:name="_GoBack"/>
            <w:bookmarkEnd w:id="0"/>
          </w:p>
        </w:tc>
      </w:tr>
    </w:tbl>
    <w:p>
      <w:pPr>
        <w:jc w:val="center"/>
        <w:rPr>
          <w:rFonts w:hint="eastAsia"/>
          <w:lang w:eastAsia="zh-CN"/>
        </w:rPr>
      </w:pPr>
    </w:p>
    <w:sectPr>
      <w:pgSz w:w="11906" w:h="16838"/>
      <w:pgMar w:top="1134" w:right="680" w:bottom="1134" w:left="6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0173E"/>
    <w:rsid w:val="013D42A4"/>
    <w:rsid w:val="017534AE"/>
    <w:rsid w:val="06CF77DF"/>
    <w:rsid w:val="0E761562"/>
    <w:rsid w:val="18A90666"/>
    <w:rsid w:val="1B331DEA"/>
    <w:rsid w:val="302070AE"/>
    <w:rsid w:val="350803D1"/>
    <w:rsid w:val="3BA90BD6"/>
    <w:rsid w:val="42F241AE"/>
    <w:rsid w:val="44C609EC"/>
    <w:rsid w:val="46626BEA"/>
    <w:rsid w:val="4710173E"/>
    <w:rsid w:val="474A0E71"/>
    <w:rsid w:val="4A0538EC"/>
    <w:rsid w:val="52D70BC8"/>
    <w:rsid w:val="56CE6224"/>
    <w:rsid w:val="5E7D3CAC"/>
    <w:rsid w:val="65C923EC"/>
    <w:rsid w:val="6BAA0F1A"/>
    <w:rsid w:val="6F1C5FA1"/>
    <w:rsid w:val="71C00D5D"/>
    <w:rsid w:val="73655B2B"/>
    <w:rsid w:val="74406B46"/>
    <w:rsid w:val="771D3626"/>
    <w:rsid w:val="7A1D139F"/>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qFormat/>
    <w:uiPriority w:val="0"/>
    <w:rPr>
      <w:color w:val="333333"/>
      <w:u w:val="none"/>
    </w:rPr>
  </w:style>
  <w:style w:type="character" w:styleId="5">
    <w:name w:val="Hyperlink"/>
    <w:basedOn w:val="3"/>
    <w:qFormat/>
    <w:uiPriority w:val="0"/>
    <w:rPr>
      <w:color w:val="333333"/>
      <w:u w:val="none"/>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dot"/>
    <w:basedOn w:val="3"/>
    <w:qFormat/>
    <w:uiPriority w:val="0"/>
  </w:style>
  <w:style w:type="character" w:customStyle="1" w:styleId="9">
    <w:name w:val="lc-trangle-icon"/>
    <w:basedOn w:val="3"/>
    <w:qFormat/>
    <w:uiPriority w:val="0"/>
    <w:rPr>
      <w:shd w:val="clear" w:fill="9B1D1F"/>
    </w:rPr>
  </w:style>
  <w:style w:type="character" w:customStyle="1" w:styleId="10">
    <w:name w:val="dot4"/>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2020-09-23T01:12:00Z</dcterms:created>
  <dc:creator>Maybe</dc:creator>
  <cp:lastModifiedBy>Administrator</cp:lastModifiedBy>
  <cp:lastPrinted>2020-09-23T03:06:00Z</cp:lastPrinted>
  <dcterms:modified xsi:type="dcterms:W3CDTF">2020-12-15T09:12:59Z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